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7E" w:rsidRPr="00B849CB" w:rsidRDefault="0022417E" w:rsidP="0022417E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D51C4D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Nuevo </w:t>
      </w:r>
      <w:proofErr w:type="spellStart"/>
      <w:r w:rsidRPr="00D51C4D">
        <w:rPr>
          <w:rFonts w:ascii="Arial" w:hAnsi="Arial" w:cs="Arial"/>
          <w:b/>
          <w:color w:val="FF0000"/>
          <w:sz w:val="20"/>
          <w:szCs w:val="20"/>
          <w:lang w:val="en-US"/>
        </w:rPr>
        <w:t>producto</w:t>
      </w:r>
      <w:proofErr w:type="spellEnd"/>
      <w:r w:rsidRPr="00D51C4D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201</w:t>
      </w:r>
      <w:r>
        <w:rPr>
          <w:rFonts w:ascii="Arial" w:hAnsi="Arial" w:cs="Arial"/>
          <w:b/>
          <w:color w:val="FF0000"/>
          <w:sz w:val="20"/>
          <w:szCs w:val="20"/>
          <w:lang w:val="en-US"/>
        </w:rPr>
        <w:t>4</w:t>
      </w:r>
      <w:r w:rsidRPr="00D51C4D">
        <w:rPr>
          <w:rFonts w:ascii="Arial" w:hAnsi="Arial" w:cs="Arial"/>
          <w:b/>
          <w:color w:val="FF0000"/>
          <w:sz w:val="20"/>
          <w:szCs w:val="20"/>
          <w:lang w:val="en-US"/>
        </w:rPr>
        <w:t>:</w:t>
      </w:r>
    </w:p>
    <w:p w:rsidR="0022417E" w:rsidRPr="0022417E" w:rsidRDefault="0022417E" w:rsidP="0022417E">
      <w:pPr>
        <w:adjustRightInd w:val="0"/>
        <w:spacing w:before="120" w:line="288" w:lineRule="auto"/>
        <w:ind w:right="493"/>
        <w:rPr>
          <w:rFonts w:ascii="Arial" w:hAnsi="Arial" w:cs="Arial"/>
          <w:color w:val="auto"/>
          <w:sz w:val="20"/>
          <w:szCs w:val="20"/>
          <w:lang w:val="en-US"/>
        </w:rPr>
      </w:pPr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OPTISYS SLM 2100: </w:t>
      </w:r>
      <w:proofErr w:type="spellStart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definici</w:t>
      </w:r>
      <w:r w:rsidRPr="0022417E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ó</w:t>
      </w:r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n</w:t>
      </w:r>
      <w:proofErr w:type="spellEnd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precisa</w:t>
      </w:r>
      <w:proofErr w:type="spellEnd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gramStart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del</w:t>
      </w:r>
      <w:proofErr w:type="gramEnd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proceso</w:t>
      </w:r>
      <w:proofErr w:type="spellEnd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sedimentaci</w:t>
      </w:r>
      <w:r w:rsidRPr="0022417E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ó</w:t>
      </w:r>
      <w:r w:rsidRPr="0022417E">
        <w:rPr>
          <w:rFonts w:ascii="Arial" w:hAnsi="Arial" w:cs="Arial"/>
          <w:b/>
          <w:color w:val="auto"/>
          <w:sz w:val="28"/>
          <w:szCs w:val="32"/>
          <w:lang w:val="en-US"/>
        </w:rPr>
        <w:t>n</w:t>
      </w:r>
      <w:proofErr w:type="spellEnd"/>
    </w:p>
    <w:p w:rsidR="0022417E" w:rsidRDefault="0022417E" w:rsidP="0022417E">
      <w:pPr>
        <w:pStyle w:val="StandardWeb"/>
        <w:numPr>
          <w:ilvl w:val="0"/>
          <w:numId w:val="19"/>
        </w:numPr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22417E">
        <w:rPr>
          <w:rFonts w:ascii="Arial" w:hAnsi="Arial" w:cs="Arial"/>
          <w:sz w:val="20"/>
          <w:szCs w:val="20"/>
          <w:lang w:val="en-US"/>
        </w:rPr>
        <w:t xml:space="preserve">Sistema </w:t>
      </w:r>
      <w:proofErr w:type="spellStart"/>
      <w:r w:rsidRPr="0022417E">
        <w:rPr>
          <w:rFonts w:ascii="Arial" w:hAnsi="Arial" w:cs="Arial" w:hint="eastAsia"/>
          <w:sz w:val="20"/>
          <w:szCs w:val="20"/>
          <w:lang w:val="en-US"/>
        </w:rPr>
        <w:t>ó</w:t>
      </w:r>
      <w:r w:rsidRPr="0022417E">
        <w:rPr>
          <w:rFonts w:ascii="Arial" w:hAnsi="Arial" w:cs="Arial"/>
          <w:sz w:val="20"/>
          <w:szCs w:val="20"/>
          <w:lang w:val="en-US"/>
        </w:rPr>
        <w:t>ptico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para la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perfil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sedimentaci</w:t>
      </w:r>
      <w:r w:rsidRPr="0022417E">
        <w:rPr>
          <w:rFonts w:ascii="Arial" w:hAnsi="Arial" w:cs="Arial" w:hint="eastAsia"/>
          <w:sz w:val="20"/>
          <w:szCs w:val="20"/>
          <w:lang w:val="en-US"/>
        </w:rPr>
        <w:t>ó</w:t>
      </w:r>
      <w:r w:rsidRPr="0022417E">
        <w:rPr>
          <w:rFonts w:ascii="Arial" w:hAnsi="Arial" w:cs="Arial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y el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seguimiento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continuo del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sz w:val="20"/>
          <w:szCs w:val="20"/>
          <w:lang w:val="en-US"/>
        </w:rPr>
        <w:t>lodos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22417E" w:rsidRDefault="00B00804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F603C">
        <w:rPr>
          <w:rFonts w:ascii="Arial" w:hAnsi="Arial" w:cs="Arial"/>
          <w:color w:val="auto"/>
          <w:sz w:val="20"/>
          <w:szCs w:val="20"/>
          <w:lang w:val="en-US"/>
        </w:rPr>
        <w:t>11</w:t>
      </w:r>
      <w:bookmarkStart w:id="0" w:name="_GoBack"/>
      <w:bookmarkEnd w:id="0"/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9A1105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32C2">
        <w:rPr>
          <w:rFonts w:ascii="Arial" w:hAnsi="Arial" w:cs="Arial"/>
          <w:color w:val="auto"/>
          <w:sz w:val="20"/>
          <w:szCs w:val="20"/>
          <w:lang w:val="en-US"/>
        </w:rPr>
        <w:t>junio</w:t>
      </w:r>
      <w:proofErr w:type="spellEnd"/>
      <w:r w:rsidR="009A1105">
        <w:rPr>
          <w:rFonts w:ascii="Arial" w:hAnsi="Arial" w:cs="Arial"/>
          <w:color w:val="auto"/>
          <w:sz w:val="20"/>
          <w:szCs w:val="20"/>
          <w:lang w:val="en-US"/>
        </w:rPr>
        <w:t xml:space="preserve"> 2014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ptico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OPTISYS SLM 2100 para la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perfil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continuo del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Este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capas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municipales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cuencas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etc.,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as</w:t>
      </w:r>
      <w:r w:rsidR="0022417E"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clarificadores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espesadores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negras</w:t>
      </w:r>
      <w:proofErr w:type="spellEnd"/>
      <w:r w:rsidR="0022417E"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sucesor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OPTISENS OAM 2080, sin embargo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dise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ha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completamente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renovado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extender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rea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aplicaci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proofErr w:type="spellStart"/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ptico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lidos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suspendidos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sumerge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cuenca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diferencia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medidores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tipo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principio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sujeto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retornos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eco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paredes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separaci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tampoco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amortiguaci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causada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fluff 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flotante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primer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perfil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monitorizaci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dos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Para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perfil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sedimentaci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concentraci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lidos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suspendidos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alturas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sensor se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mueve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capas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monitorizaci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dos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supervisar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alturas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dos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concentraciones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predefinidas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fluff y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evitar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deslave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etapa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sucesiva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Para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continua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concentraci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predefinida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conocida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el sensor </w:t>
      </w:r>
      <w:proofErr w:type="spellStart"/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ptico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mueve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dentro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detecta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concentraci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sigue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rastrea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manera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continua. Este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monitorizar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bombeo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En </w:t>
      </w:r>
      <w:proofErr w:type="spellStart"/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el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sustituir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utilizadas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nmente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aplicaci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: con un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perturbaciones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desembocar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falsas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rdida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compensar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inconvenientes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instala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nea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bombeo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turbidez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sustituir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conocido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multipar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MAC 100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anal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ticos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Comparte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concepto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convertidores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caudal y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as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resulta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cil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aprender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usarlo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fabricante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concepto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par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sicos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anal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ticos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2417E" w:rsidRP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OPTISYS SLM 2100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 dos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salidas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4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…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20mA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comunican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altura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concentraci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seg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seleccionado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Las entradas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detector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rastrillo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protege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sensor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lastRenderedPageBreak/>
        <w:t>impidiendo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atrapado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rastrillo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intermedias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iniciarse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distancia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entradas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digitales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6F7B91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sensor </w:t>
      </w:r>
      <w:proofErr w:type="spellStart"/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son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grado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protecci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IP54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dotado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ventilador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incorporado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refrigerar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electr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elevadas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calentamiento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fr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impide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congelaci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los cables y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mec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nicos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limpieza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chorro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limpia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sensor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cable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despu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ciclo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lo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cual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minimizar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costos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funci</w:t>
      </w:r>
      <w:r w:rsidRPr="0022417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22417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era de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anterior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muchas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zona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limpia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suficiente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limpiar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sensor,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consiguiente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precio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base </w:t>
      </w:r>
      <w:proofErr w:type="gram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2417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2417E">
        <w:rPr>
          <w:rFonts w:ascii="Arial" w:hAnsi="Arial" w:cs="Arial"/>
          <w:color w:val="auto"/>
          <w:sz w:val="20"/>
          <w:szCs w:val="20"/>
          <w:lang w:val="en-US"/>
        </w:rPr>
        <w:t xml:space="preserve"> inferior.</w:t>
      </w:r>
    </w:p>
    <w:p w:rsidR="0022417E" w:rsidRDefault="0022417E" w:rsidP="0022417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Pr="009A1105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en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00804" w:rsidRPr="00B00804" w:rsidRDefault="00B00804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55DC0" w:rsidRDefault="00355DC0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Imagen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1:</w:t>
      </w:r>
    </w:p>
    <w:p w:rsidR="009A1105" w:rsidRPr="00EA10F2" w:rsidRDefault="0022417E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59695DAC">
            <wp:extent cx="3177700" cy="2314575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871" cy="231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B91" w:rsidRDefault="006F7B91" w:rsidP="00355DC0">
      <w:pPr>
        <w:pStyle w:val="1CD-BodyCharChar"/>
        <w:spacing w:line="288" w:lineRule="auto"/>
        <w:rPr>
          <w:b/>
          <w:noProof/>
          <w:color w:val="auto"/>
          <w:szCs w:val="20"/>
        </w:rPr>
      </w:pPr>
    </w:p>
    <w:p w:rsidR="00B00804" w:rsidRDefault="00B00804" w:rsidP="00384328">
      <w:pPr>
        <w:pStyle w:val="1CD-BodyCharChar"/>
        <w:rPr>
          <w:rFonts w:cs="Calibri"/>
          <w:lang w:val="es-ES"/>
        </w:rPr>
      </w:pPr>
      <w:r w:rsidRPr="00B00804">
        <w:rPr>
          <w:rFonts w:cs="Arial"/>
          <w:b/>
          <w:color w:val="auto"/>
          <w:szCs w:val="20"/>
          <w:lang w:val="en-US"/>
        </w:rPr>
        <w:t xml:space="preserve">Pie de </w:t>
      </w:r>
      <w:proofErr w:type="spellStart"/>
      <w:r w:rsidRPr="00B00804">
        <w:rPr>
          <w:rFonts w:cs="Arial"/>
          <w:b/>
          <w:color w:val="auto"/>
          <w:szCs w:val="20"/>
          <w:lang w:val="en-US"/>
        </w:rPr>
        <w:t>foto</w:t>
      </w:r>
      <w:proofErr w:type="spellEnd"/>
      <w:r w:rsidRPr="00B00804">
        <w:rPr>
          <w:rFonts w:cs="Arial"/>
          <w:b/>
          <w:color w:val="auto"/>
          <w:szCs w:val="20"/>
          <w:lang w:val="en-US"/>
        </w:rPr>
        <w:t>:</w:t>
      </w:r>
      <w:r w:rsidR="009A1105">
        <w:rPr>
          <w:rFonts w:cs="Arial"/>
          <w:color w:val="auto"/>
          <w:szCs w:val="20"/>
          <w:lang w:val="en-US"/>
        </w:rPr>
        <w:t xml:space="preserve"> </w:t>
      </w:r>
      <w:r w:rsidR="0022417E">
        <w:rPr>
          <w:rFonts w:cs="Calibri"/>
          <w:lang w:val="es-ES"/>
        </w:rPr>
        <w:t xml:space="preserve">OPTISYS SLM 2100, sistema óptico de medida para la medida </w:t>
      </w:r>
      <w:proofErr w:type="gramStart"/>
      <w:r w:rsidR="0022417E">
        <w:rPr>
          <w:rFonts w:cs="Calibri"/>
          <w:lang w:val="es-ES"/>
        </w:rPr>
        <w:t>del</w:t>
      </w:r>
      <w:proofErr w:type="gramEnd"/>
      <w:r w:rsidR="0022417E">
        <w:rPr>
          <w:rFonts w:cs="Calibri"/>
          <w:lang w:val="es-ES"/>
        </w:rPr>
        <w:t xml:space="preserve"> perfil de sedimentación y el seguimiento continuo del nivel de lodos</w:t>
      </w:r>
    </w:p>
    <w:p w:rsidR="0022417E" w:rsidRPr="00B00804" w:rsidRDefault="0022417E" w:rsidP="00384328">
      <w:pPr>
        <w:pStyle w:val="1CD-BodyCharChar"/>
        <w:rPr>
          <w:rFonts w:cs="Arial"/>
          <w:color w:val="auto"/>
          <w:szCs w:val="20"/>
          <w:lang w:val="en-US"/>
        </w:rPr>
      </w:pP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Publicado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8F603C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8F603C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F603C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8F603C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4A5ADD"/>
    <w:multiLevelType w:val="hybridMultilevel"/>
    <w:tmpl w:val="56C05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5"/>
  </w:num>
  <w:num w:numId="11">
    <w:abstractNumId w:val="7"/>
  </w:num>
  <w:num w:numId="12">
    <w:abstractNumId w:val="17"/>
  </w:num>
  <w:num w:numId="13">
    <w:abstractNumId w:val="3"/>
  </w:num>
  <w:num w:numId="14">
    <w:abstractNumId w:val="0"/>
  </w:num>
  <w:num w:numId="15">
    <w:abstractNumId w:val="13"/>
  </w:num>
  <w:num w:numId="16">
    <w:abstractNumId w:val="6"/>
  </w:num>
  <w:num w:numId="17">
    <w:abstractNumId w:val="18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6496"/>
    <w:rsid w:val="000B163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17E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2C2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03C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1105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53F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B5CA0-5CB2-4338-8B61-5BB03808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810</Words>
  <Characters>4358</Characters>
  <Application>Microsoft Office Word</Application>
  <DocSecurity>0</DocSecurity>
  <Lines>111</Lines>
  <Paragraphs>62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5106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 Jörg</cp:lastModifiedBy>
  <cp:revision>7</cp:revision>
  <cp:lastPrinted>2012-06-14T17:54:00Z</cp:lastPrinted>
  <dcterms:created xsi:type="dcterms:W3CDTF">2013-12-03T11:57:00Z</dcterms:created>
  <dcterms:modified xsi:type="dcterms:W3CDTF">2014-06-10T12:11:00Z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