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105" w:rsidRPr="009A1105" w:rsidRDefault="009A1105" w:rsidP="009A1105">
      <w:pPr>
        <w:adjustRightInd w:val="0"/>
        <w:spacing w:before="120" w:line="288" w:lineRule="auto"/>
        <w:ind w:right="493"/>
        <w:rPr>
          <w:rFonts w:ascii="Arial" w:hAnsi="Arial" w:cs="Arial"/>
          <w:color w:val="auto"/>
          <w:sz w:val="20"/>
          <w:szCs w:val="20"/>
          <w:lang w:val="en-US"/>
        </w:rPr>
      </w:pPr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H250 M40: </w:t>
      </w:r>
      <w:proofErr w:type="spellStart"/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>caudal</w:t>
      </w:r>
      <w:r w:rsidRPr="009A1105">
        <w:rPr>
          <w:rFonts w:ascii="Arial" w:hAnsi="Arial" w:cs="Arial" w:hint="eastAsia"/>
          <w:b/>
          <w:color w:val="auto"/>
          <w:sz w:val="28"/>
          <w:szCs w:val="32"/>
          <w:lang w:val="en-US"/>
        </w:rPr>
        <w:t>í</w:t>
      </w:r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>metro</w:t>
      </w:r>
      <w:proofErr w:type="spellEnd"/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</w:t>
      </w:r>
      <w:proofErr w:type="spellStart"/>
      <w:r w:rsidRPr="009A1105">
        <w:rPr>
          <w:rFonts w:ascii="Arial" w:hAnsi="Arial" w:cs="Arial" w:hint="eastAsia"/>
          <w:b/>
          <w:color w:val="auto"/>
          <w:sz w:val="28"/>
          <w:szCs w:val="32"/>
          <w:lang w:val="en-US"/>
        </w:rPr>
        <w:t>á</w:t>
      </w:r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>reas</w:t>
      </w:r>
      <w:proofErr w:type="spellEnd"/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>peligrosas</w:t>
      </w:r>
      <w:proofErr w:type="spellEnd"/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>aprobado</w:t>
      </w:r>
      <w:proofErr w:type="spellEnd"/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a </w:t>
      </w:r>
      <w:proofErr w:type="spellStart"/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>nivel</w:t>
      </w:r>
      <w:proofErr w:type="spellEnd"/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>mundial</w:t>
      </w:r>
      <w:proofErr w:type="spellEnd"/>
      <w:r w:rsidRPr="009A110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</w:p>
    <w:p w:rsidR="009A1105" w:rsidRPr="009A1105" w:rsidRDefault="009A1105" w:rsidP="009A1105">
      <w:pPr>
        <w:pStyle w:val="Listenabsatz"/>
        <w:numPr>
          <w:ilvl w:val="0"/>
          <w:numId w:val="18"/>
        </w:numPr>
        <w:adjustRightInd w:val="0"/>
        <w:spacing w:before="120" w:line="288" w:lineRule="auto"/>
        <w:ind w:right="493"/>
        <w:rPr>
          <w:rFonts w:ascii="Arial" w:hAnsi="Arial" w:cs="Arial"/>
          <w:color w:val="auto"/>
          <w:sz w:val="20"/>
          <w:szCs w:val="20"/>
          <w:lang w:val="en-US"/>
        </w:rPr>
      </w:pPr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variable H250 M40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obtuvo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30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Ex para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peligrosas</w:t>
      </w:r>
      <w:proofErr w:type="spellEnd"/>
    </w:p>
    <w:p w:rsidR="009A1105" w:rsidRPr="009A1105" w:rsidRDefault="009A1105" w:rsidP="009A1105">
      <w:pPr>
        <w:pStyle w:val="Listenabsatz"/>
        <w:numPr>
          <w:ilvl w:val="0"/>
          <w:numId w:val="18"/>
        </w:numPr>
        <w:adjustRightInd w:val="0"/>
        <w:spacing w:before="120" w:line="288" w:lineRule="auto"/>
        <w:ind w:right="493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Cubierta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intrínsecamente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segura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antideflagrantes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con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solo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9A1105" w:rsidRDefault="00B00804" w:rsidP="009A110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9A1105">
        <w:rPr>
          <w:rFonts w:ascii="Arial" w:hAnsi="Arial" w:cs="Arial"/>
          <w:color w:val="auto"/>
          <w:sz w:val="20"/>
          <w:szCs w:val="20"/>
          <w:lang w:val="en-US"/>
        </w:rPr>
        <w:t>15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de</w:t>
      </w:r>
      <w:r w:rsidR="009A1105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>
        <w:rPr>
          <w:rFonts w:ascii="Arial" w:hAnsi="Arial" w:cs="Arial"/>
          <w:color w:val="auto"/>
          <w:sz w:val="20"/>
          <w:szCs w:val="20"/>
          <w:lang w:val="en-US"/>
        </w:rPr>
        <w:t>enero</w:t>
      </w:r>
      <w:proofErr w:type="spellEnd"/>
      <w:r w:rsidR="009A1105">
        <w:rPr>
          <w:rFonts w:ascii="Arial" w:hAnsi="Arial" w:cs="Arial"/>
          <w:color w:val="auto"/>
          <w:sz w:val="20"/>
          <w:szCs w:val="20"/>
          <w:lang w:val="en-US"/>
        </w:rPr>
        <w:t xml:space="preserve"> 2014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Con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normativa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americana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FM para los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tipos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protección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contra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ignición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"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intrínsecamente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seguro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" (IS) y "no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inflamable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" (NI), KROHNE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acaba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recibir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últimas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pendientes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peligrosas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variable H250 M40.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lanzamiento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en 2011, el H250 M40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obtuvo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30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mundial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peligrosas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polvo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y gas, entre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cuales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: ATEX,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IECEx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usFMc</w:t>
      </w:r>
      <w:proofErr w:type="spell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, NEPSI, INMETRO, KGS, </w:t>
      </w:r>
      <w:proofErr w:type="gramStart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GOST</w:t>
      </w:r>
      <w:proofErr w:type="gramEnd"/>
      <w:r w:rsidR="009A1105" w:rsidRPr="009A1105">
        <w:rPr>
          <w:rFonts w:ascii="Arial" w:hAnsi="Arial" w:cs="Arial"/>
          <w:color w:val="auto"/>
          <w:sz w:val="20"/>
          <w:szCs w:val="20"/>
          <w:lang w:val="en-US"/>
        </w:rPr>
        <w:t>-R y PESO/CCOE.</w:t>
      </w:r>
    </w:p>
    <w:p w:rsidR="009A1105" w:rsidRPr="009A1105" w:rsidRDefault="009A1105" w:rsidP="009A110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9A1105" w:rsidRDefault="009A1105" w:rsidP="009A110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El H250 M40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combina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tipos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principales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protección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contra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explosiones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gram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solo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cualquier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adecuada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requiera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proyecto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cableado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intrínsecamente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seguro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o no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inflamable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, o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prueba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ignición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polvo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antideflagrantes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Gracias 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válidas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mundial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primera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elección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cualquier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gran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empresa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internacional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tenga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estricta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estrategia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protección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contra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explosiones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pero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necesite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locales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correspondientes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Lo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mismo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ocurre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con los OEM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con solo </w:t>
      </w:r>
      <w:proofErr w:type="gram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consiguen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cumplir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distintos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clientes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9A1105" w:rsidRPr="009A1105" w:rsidRDefault="009A1105" w:rsidP="009A110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9A1105" w:rsidRDefault="009A1105" w:rsidP="009A110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variantes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pantallas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indicadores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proporcionarse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: 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partir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indicadores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puramente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mecánicos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, los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actualizarse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con 1 ó 2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interruptores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límite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(NAMUR, Transistor o Reed),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4...20mA con HART,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pantalla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LCD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gráfica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totalizador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pulsos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, y hasta con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interfaz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digital,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alimentada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bus,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a los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estándares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FOUNDATION Fieldbus o PROFIBUS PA –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in situ, sin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interrupciones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. El H250 M40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el primer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variable en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ofrecer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antideflagrante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(Ex d/XP),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especialmente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dedicado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y gas.</w:t>
      </w:r>
    </w:p>
    <w:p w:rsidR="009A1105" w:rsidRPr="009A1105" w:rsidRDefault="009A1105" w:rsidP="009A110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9A1105" w:rsidRPr="009A1105" w:rsidRDefault="009A1105" w:rsidP="009A110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son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accesibles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públicamente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través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centro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A1105">
        <w:rPr>
          <w:rFonts w:ascii="Arial" w:hAnsi="Arial" w:cs="Arial"/>
          <w:color w:val="auto"/>
          <w:sz w:val="20"/>
          <w:szCs w:val="20"/>
          <w:lang w:val="en-US"/>
        </w:rPr>
        <w:t>descargas</w:t>
      </w:r>
      <w:proofErr w:type="spellEnd"/>
      <w:r w:rsidRPr="009A1105">
        <w:rPr>
          <w:rFonts w:ascii="Arial" w:hAnsi="Arial" w:cs="Arial"/>
          <w:color w:val="auto"/>
          <w:sz w:val="20"/>
          <w:szCs w:val="20"/>
          <w:lang w:val="en-US"/>
        </w:rPr>
        <w:t xml:space="preserve"> de KROHNE:</w:t>
      </w:r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hyperlink r:id="rId9" w:history="1">
        <w:r w:rsidRPr="00AF1745">
          <w:rPr>
            <w:rStyle w:val="Hyperlink"/>
            <w:rFonts w:ascii="Arial" w:hAnsi="Arial" w:cs="Arial"/>
            <w:sz w:val="20"/>
            <w:szCs w:val="20"/>
            <w:lang w:val="en-US"/>
          </w:rPr>
          <w:t>http://es.krohne.com/es/dlc/</w:t>
        </w:r>
      </w:hyperlink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</w:p>
    <w:p w:rsidR="006F7B91" w:rsidRDefault="006F7B91" w:rsidP="009A110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6F7B91" w:rsidRPr="006F7B91" w:rsidRDefault="006F7B91" w:rsidP="006F7B9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6F7B91">
        <w:rPr>
          <w:rFonts w:ascii="Arial" w:hAnsi="Arial" w:cs="Arial"/>
          <w:color w:val="auto"/>
          <w:sz w:val="20"/>
          <w:szCs w:val="20"/>
          <w:lang w:val="en-US"/>
        </w:rPr>
        <w:t xml:space="preserve">FOUNDATION Fieldbus </w:t>
      </w:r>
      <w:proofErr w:type="spellStart"/>
      <w:r w:rsidRPr="006F7B91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F7B9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F7B91">
        <w:rPr>
          <w:rFonts w:ascii="Arial" w:hAnsi="Arial" w:cs="Arial"/>
          <w:color w:val="auto"/>
          <w:sz w:val="20"/>
          <w:szCs w:val="20"/>
          <w:lang w:val="en-US"/>
        </w:rPr>
        <w:t>marca</w:t>
      </w:r>
      <w:proofErr w:type="spellEnd"/>
      <w:r w:rsidRP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F7B91">
        <w:rPr>
          <w:rFonts w:ascii="Arial" w:hAnsi="Arial" w:cs="Arial"/>
          <w:color w:val="auto"/>
          <w:sz w:val="20"/>
          <w:szCs w:val="20"/>
          <w:lang w:val="en-US"/>
        </w:rPr>
        <w:t>comercial</w:t>
      </w:r>
      <w:proofErr w:type="spellEnd"/>
      <w:r w:rsidRPr="006F7B91">
        <w:rPr>
          <w:rFonts w:ascii="Arial" w:hAnsi="Arial" w:cs="Arial"/>
          <w:color w:val="auto"/>
          <w:sz w:val="20"/>
          <w:szCs w:val="20"/>
          <w:lang w:val="en-US"/>
        </w:rPr>
        <w:t xml:space="preserve"> de Fieldbus Foundation.</w:t>
      </w:r>
      <w:proofErr w:type="gramEnd"/>
    </w:p>
    <w:p w:rsidR="006F7B91" w:rsidRPr="006F7B91" w:rsidRDefault="006F7B91" w:rsidP="006F7B9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6F7B91">
        <w:rPr>
          <w:rFonts w:ascii="Arial" w:hAnsi="Arial" w:cs="Arial"/>
          <w:color w:val="auto"/>
          <w:sz w:val="20"/>
          <w:szCs w:val="20"/>
          <w:lang w:val="en-US"/>
        </w:rPr>
        <w:t xml:space="preserve">PROFIBUS </w:t>
      </w:r>
      <w:proofErr w:type="spellStart"/>
      <w:r w:rsidRPr="006F7B91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F7B9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F7B91">
        <w:rPr>
          <w:rFonts w:ascii="Arial" w:hAnsi="Arial" w:cs="Arial"/>
          <w:color w:val="auto"/>
          <w:sz w:val="20"/>
          <w:szCs w:val="20"/>
          <w:lang w:val="en-US"/>
        </w:rPr>
        <w:t>marca</w:t>
      </w:r>
      <w:proofErr w:type="spellEnd"/>
      <w:r w:rsidRP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F7B91">
        <w:rPr>
          <w:rFonts w:ascii="Arial" w:hAnsi="Arial" w:cs="Arial"/>
          <w:color w:val="auto"/>
          <w:sz w:val="20"/>
          <w:szCs w:val="20"/>
          <w:lang w:val="en-US"/>
        </w:rPr>
        <w:t>comercial</w:t>
      </w:r>
      <w:proofErr w:type="spellEnd"/>
      <w:r w:rsidRPr="006F7B91">
        <w:rPr>
          <w:rFonts w:ascii="Arial" w:hAnsi="Arial" w:cs="Arial"/>
          <w:color w:val="auto"/>
          <w:sz w:val="20"/>
          <w:szCs w:val="20"/>
          <w:lang w:val="en-US"/>
        </w:rPr>
        <w:t xml:space="preserve"> de PROFIBUS y PROFINET International.</w:t>
      </w:r>
      <w:proofErr w:type="gramEnd"/>
    </w:p>
    <w:p w:rsidR="006F7B91" w:rsidRDefault="006F7B91" w:rsidP="006F7B9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D20125" w:rsidRPr="009A1105" w:rsidRDefault="006F7B91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bCs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1921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en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3.000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00804" w:rsidRPr="00B00804" w:rsidRDefault="00B00804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355DC0" w:rsidRDefault="00355DC0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Imagen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1:</w:t>
      </w:r>
    </w:p>
    <w:p w:rsidR="009A1105" w:rsidRPr="00EA10F2" w:rsidRDefault="009A1105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b/>
          <w:noProof/>
          <w:szCs w:val="20"/>
        </w:rPr>
        <w:lastRenderedPageBreak/>
        <w:drawing>
          <wp:inline distT="0" distB="0" distL="0" distR="0" wp14:anchorId="6468381B" wp14:editId="0D3D6181">
            <wp:extent cx="3851616" cy="28003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250_M40_ESK4T_15cm_breit_72dpi_RG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6021" cy="283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B91" w:rsidRDefault="006F7B91" w:rsidP="00355DC0">
      <w:pPr>
        <w:pStyle w:val="1CD-BodyCharChar"/>
        <w:spacing w:line="288" w:lineRule="auto"/>
        <w:rPr>
          <w:b/>
          <w:noProof/>
          <w:color w:val="auto"/>
          <w:szCs w:val="20"/>
        </w:rPr>
      </w:pPr>
    </w:p>
    <w:p w:rsidR="00B00804" w:rsidRPr="00B00804" w:rsidRDefault="00B00804" w:rsidP="00B00804">
      <w:pPr>
        <w:pStyle w:val="1CD-BodyCharChar"/>
        <w:rPr>
          <w:rFonts w:cs="Arial"/>
          <w:b/>
          <w:color w:val="auto"/>
          <w:szCs w:val="20"/>
          <w:lang w:val="en-US"/>
        </w:rPr>
      </w:pPr>
      <w:r w:rsidRPr="00B00804">
        <w:rPr>
          <w:rFonts w:cs="Arial"/>
          <w:b/>
          <w:color w:val="auto"/>
          <w:szCs w:val="20"/>
          <w:lang w:val="en-US"/>
        </w:rPr>
        <w:t xml:space="preserve">Pie de </w:t>
      </w:r>
      <w:proofErr w:type="spellStart"/>
      <w:r w:rsidRPr="00B00804">
        <w:rPr>
          <w:rFonts w:cs="Arial"/>
          <w:b/>
          <w:color w:val="auto"/>
          <w:szCs w:val="20"/>
          <w:lang w:val="en-US"/>
        </w:rPr>
        <w:t>foto</w:t>
      </w:r>
      <w:proofErr w:type="spellEnd"/>
      <w:r w:rsidRPr="00B00804">
        <w:rPr>
          <w:rFonts w:cs="Arial"/>
          <w:b/>
          <w:color w:val="auto"/>
          <w:szCs w:val="20"/>
          <w:lang w:val="en-US"/>
        </w:rPr>
        <w:t>:</w:t>
      </w:r>
      <w:bookmarkStart w:id="0" w:name="_GoBack"/>
      <w:bookmarkEnd w:id="0"/>
      <w:r w:rsidR="009A1105">
        <w:rPr>
          <w:rFonts w:cs="Arial"/>
          <w:color w:val="auto"/>
          <w:szCs w:val="20"/>
          <w:lang w:val="en-US"/>
        </w:rPr>
        <w:t xml:space="preserve"> </w:t>
      </w:r>
      <w:r w:rsidR="009A1105" w:rsidRPr="009A1105">
        <w:rPr>
          <w:rFonts w:cs="Arial"/>
          <w:color w:val="auto"/>
          <w:szCs w:val="20"/>
          <w:lang w:val="en-US"/>
        </w:rPr>
        <w:t xml:space="preserve">El </w:t>
      </w:r>
      <w:proofErr w:type="spellStart"/>
      <w:r w:rsidR="009A1105" w:rsidRPr="009A1105">
        <w:rPr>
          <w:rFonts w:cs="Arial"/>
          <w:color w:val="auto"/>
          <w:szCs w:val="20"/>
          <w:lang w:val="en-US"/>
        </w:rPr>
        <w:t>caudal</w:t>
      </w:r>
      <w:r w:rsidR="009A1105" w:rsidRPr="009A1105">
        <w:rPr>
          <w:rFonts w:cs="Arial" w:hint="eastAsia"/>
          <w:color w:val="auto"/>
          <w:szCs w:val="20"/>
          <w:lang w:val="en-US"/>
        </w:rPr>
        <w:t>í</w:t>
      </w:r>
      <w:r w:rsidR="009A1105" w:rsidRPr="009A1105">
        <w:rPr>
          <w:rFonts w:cs="Arial"/>
          <w:color w:val="auto"/>
          <w:szCs w:val="20"/>
          <w:lang w:val="en-US"/>
        </w:rPr>
        <w:t>metro</w:t>
      </w:r>
      <w:proofErr w:type="spellEnd"/>
      <w:r w:rsidR="009A1105" w:rsidRPr="009A1105">
        <w:rPr>
          <w:rFonts w:cs="Arial"/>
          <w:color w:val="auto"/>
          <w:szCs w:val="20"/>
          <w:lang w:val="en-US"/>
        </w:rPr>
        <w:t xml:space="preserve"> de </w:t>
      </w:r>
      <w:proofErr w:type="spellStart"/>
      <w:r w:rsidR="009A1105" w:rsidRPr="009A1105">
        <w:rPr>
          <w:rFonts w:cs="Arial" w:hint="eastAsia"/>
          <w:color w:val="auto"/>
          <w:szCs w:val="20"/>
          <w:lang w:val="en-US"/>
        </w:rPr>
        <w:t>á</w:t>
      </w:r>
      <w:r w:rsidR="009A1105" w:rsidRPr="009A1105">
        <w:rPr>
          <w:rFonts w:cs="Arial"/>
          <w:color w:val="auto"/>
          <w:szCs w:val="20"/>
          <w:lang w:val="en-US"/>
        </w:rPr>
        <w:t>rea</w:t>
      </w:r>
      <w:proofErr w:type="spellEnd"/>
      <w:r w:rsidR="009A1105" w:rsidRPr="009A1105">
        <w:rPr>
          <w:rFonts w:cs="Arial"/>
          <w:color w:val="auto"/>
          <w:szCs w:val="20"/>
          <w:lang w:val="en-US"/>
        </w:rPr>
        <w:t xml:space="preserve"> variable H250 M40 </w:t>
      </w:r>
      <w:proofErr w:type="spellStart"/>
      <w:r w:rsidR="009A1105" w:rsidRPr="009A1105">
        <w:rPr>
          <w:rFonts w:cs="Arial"/>
          <w:color w:val="auto"/>
          <w:szCs w:val="20"/>
          <w:lang w:val="en-US"/>
        </w:rPr>
        <w:t>obtuvo</w:t>
      </w:r>
      <w:proofErr w:type="spellEnd"/>
      <w:r w:rsidR="009A1105" w:rsidRPr="009A1105">
        <w:rPr>
          <w:rFonts w:cs="Arial"/>
          <w:color w:val="auto"/>
          <w:szCs w:val="20"/>
          <w:lang w:val="en-US"/>
        </w:rPr>
        <w:t xml:space="preserve"> </w:t>
      </w:r>
      <w:proofErr w:type="spellStart"/>
      <w:r w:rsidR="009A1105" w:rsidRPr="009A1105">
        <w:rPr>
          <w:rFonts w:cs="Arial"/>
          <w:color w:val="auto"/>
          <w:szCs w:val="20"/>
          <w:lang w:val="en-US"/>
        </w:rPr>
        <w:t>m</w:t>
      </w:r>
      <w:r w:rsidR="009A1105" w:rsidRPr="009A1105">
        <w:rPr>
          <w:rFonts w:cs="Arial" w:hint="eastAsia"/>
          <w:color w:val="auto"/>
          <w:szCs w:val="20"/>
          <w:lang w:val="en-US"/>
        </w:rPr>
        <w:t>á</w:t>
      </w:r>
      <w:r w:rsidR="009A1105" w:rsidRPr="009A1105">
        <w:rPr>
          <w:rFonts w:cs="Arial"/>
          <w:color w:val="auto"/>
          <w:szCs w:val="20"/>
          <w:lang w:val="en-US"/>
        </w:rPr>
        <w:t>s</w:t>
      </w:r>
      <w:proofErr w:type="spellEnd"/>
      <w:r w:rsidR="009A1105" w:rsidRPr="009A1105">
        <w:rPr>
          <w:rFonts w:cs="Arial"/>
          <w:color w:val="auto"/>
          <w:szCs w:val="20"/>
          <w:lang w:val="en-US"/>
        </w:rPr>
        <w:t xml:space="preserve"> de 30 </w:t>
      </w:r>
      <w:proofErr w:type="spellStart"/>
      <w:r w:rsidR="009A1105" w:rsidRPr="009A1105">
        <w:rPr>
          <w:rFonts w:cs="Arial"/>
          <w:color w:val="auto"/>
          <w:szCs w:val="20"/>
          <w:lang w:val="en-US"/>
        </w:rPr>
        <w:t>aprobaciones</w:t>
      </w:r>
      <w:proofErr w:type="spellEnd"/>
      <w:r w:rsidR="009A1105" w:rsidRPr="009A1105">
        <w:rPr>
          <w:rFonts w:cs="Arial"/>
          <w:color w:val="auto"/>
          <w:szCs w:val="20"/>
          <w:lang w:val="en-US"/>
        </w:rPr>
        <w:t xml:space="preserve"> </w:t>
      </w:r>
      <w:proofErr w:type="gramStart"/>
      <w:r w:rsidR="009A1105" w:rsidRPr="009A1105">
        <w:rPr>
          <w:rFonts w:cs="Arial"/>
          <w:color w:val="auto"/>
          <w:szCs w:val="20"/>
          <w:lang w:val="en-US"/>
        </w:rPr>
        <w:t>Ex</w:t>
      </w:r>
      <w:proofErr w:type="gramEnd"/>
      <w:r w:rsidR="009A1105" w:rsidRPr="009A1105">
        <w:rPr>
          <w:rFonts w:cs="Arial"/>
          <w:color w:val="auto"/>
          <w:szCs w:val="20"/>
          <w:lang w:val="en-US"/>
        </w:rPr>
        <w:t xml:space="preserve"> para </w:t>
      </w:r>
      <w:proofErr w:type="spellStart"/>
      <w:r w:rsidR="009A1105" w:rsidRPr="009A1105">
        <w:rPr>
          <w:rFonts w:cs="Arial" w:hint="eastAsia"/>
          <w:color w:val="auto"/>
          <w:szCs w:val="20"/>
          <w:lang w:val="en-US"/>
        </w:rPr>
        <w:t>á</w:t>
      </w:r>
      <w:r w:rsidR="009A1105" w:rsidRPr="009A1105">
        <w:rPr>
          <w:rFonts w:cs="Arial"/>
          <w:color w:val="auto"/>
          <w:szCs w:val="20"/>
          <w:lang w:val="en-US"/>
        </w:rPr>
        <w:t>reas</w:t>
      </w:r>
      <w:proofErr w:type="spellEnd"/>
      <w:r w:rsidR="009A1105" w:rsidRPr="009A1105">
        <w:rPr>
          <w:rFonts w:cs="Arial"/>
          <w:color w:val="auto"/>
          <w:szCs w:val="20"/>
          <w:lang w:val="en-US"/>
        </w:rPr>
        <w:t xml:space="preserve"> </w:t>
      </w:r>
      <w:proofErr w:type="spellStart"/>
      <w:r w:rsidR="009A1105" w:rsidRPr="009A1105">
        <w:rPr>
          <w:rFonts w:cs="Arial"/>
          <w:color w:val="auto"/>
          <w:szCs w:val="20"/>
          <w:lang w:val="en-US"/>
        </w:rPr>
        <w:t>peligrosas</w:t>
      </w:r>
      <w:proofErr w:type="spellEnd"/>
    </w:p>
    <w:p w:rsidR="00B00804" w:rsidRPr="00B00804" w:rsidRDefault="00B00804" w:rsidP="00384328">
      <w:pPr>
        <w:pStyle w:val="1CD-BodyCharChar"/>
        <w:rPr>
          <w:rFonts w:cs="Arial"/>
          <w:color w:val="auto"/>
          <w:szCs w:val="20"/>
          <w:lang w:val="en-US"/>
        </w:rPr>
      </w:pP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Publicado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por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Ludwig-Krohne-Str.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9A1105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Fax: +49 203 301 105 11</w:t>
      </w:r>
    </w:p>
    <w:p w:rsidR="00155AB6" w:rsidRPr="00384328" w:rsidRDefault="009A1105" w:rsidP="00384328">
      <w:pPr>
        <w:adjustRightInd w:val="0"/>
        <w:spacing w:line="288" w:lineRule="auto"/>
        <w:rPr>
          <w:szCs w:val="20"/>
        </w:rPr>
      </w:pPr>
      <w:hyperlink r:id="rId12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3"/>
      <w:footerReference w:type="default" r:id="rId14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A1105">
            <w:rPr>
              <w:noProof/>
            </w:rPr>
            <w:t>2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9A1105">
            <w:fldChar w:fldCharType="begin"/>
          </w:r>
          <w:r w:rsidR="009A1105">
            <w:instrText xml:space="preserve"> NUMPAGES </w:instrText>
          </w:r>
          <w:r w:rsidR="009A1105">
            <w:fldChar w:fldCharType="separate"/>
          </w:r>
          <w:r w:rsidR="009A1105">
            <w:rPr>
              <w:noProof/>
            </w:rPr>
            <w:t>2</w:t>
          </w:r>
          <w:r w:rsidR="009A1105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13"/>
  </w:num>
  <w:num w:numId="7">
    <w:abstractNumId w:val="14"/>
  </w:num>
  <w:num w:numId="8">
    <w:abstractNumId w:val="10"/>
  </w:num>
  <w:num w:numId="9">
    <w:abstractNumId w:val="11"/>
  </w:num>
  <w:num w:numId="10">
    <w:abstractNumId w:val="5"/>
  </w:num>
  <w:num w:numId="11">
    <w:abstractNumId w:val="7"/>
  </w:num>
  <w:num w:numId="12">
    <w:abstractNumId w:val="16"/>
  </w:num>
  <w:num w:numId="13">
    <w:abstractNumId w:val="3"/>
  </w:num>
  <w:num w:numId="14">
    <w:abstractNumId w:val="0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6496"/>
    <w:rsid w:val="000B163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1105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4FCD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.holtmann@krohne.com?subject=ISA%20Messe-Award%20f&#252;r%20UFM%2030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ohn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es.krohne.com/es/dlc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A72BF-B37E-4412-ABD9-38016C8E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503</Words>
  <Characters>3005</Characters>
  <Application>Microsoft Office Word</Application>
  <DocSecurity>0</DocSecurity>
  <Lines>25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3501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 Jörg</cp:lastModifiedBy>
  <cp:revision>3</cp:revision>
  <cp:lastPrinted>2012-06-14T17:54:00Z</cp:lastPrinted>
  <dcterms:created xsi:type="dcterms:W3CDTF">2013-12-03T11:57:00Z</dcterms:created>
  <dcterms:modified xsi:type="dcterms:W3CDTF">2014-01-14T16:12:00Z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