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44968" w14:textId="3A03F061" w:rsidR="00D12B47" w:rsidRDefault="002A1681" w:rsidP="00E3171A">
      <w:pPr>
        <w:adjustRightInd w:val="0"/>
        <w:spacing w:line="288" w:lineRule="auto"/>
        <w:ind w:right="495"/>
        <w:rPr>
          <w:rFonts w:ascii="Arial" w:hAnsi="Arial" w:cs="Arial"/>
          <w:sz w:val="20"/>
          <w:szCs w:val="20"/>
        </w:rPr>
      </w:pPr>
      <w:r w:rsidRPr="002A1681">
        <w:rPr>
          <w:rFonts w:ascii="Arial" w:hAnsi="Arial" w:cs="Arial"/>
          <w:b/>
          <w:color w:val="auto"/>
          <w:sz w:val="32"/>
          <w:szCs w:val="32"/>
        </w:rPr>
        <w:t>SIL 2 Option für DK Glasgeräte mit NAMUR Grenzwertschalter</w:t>
      </w:r>
    </w:p>
    <w:p w14:paraId="4E269B9C" w14:textId="77777777" w:rsidR="002A1681" w:rsidRPr="002A1681" w:rsidRDefault="002A1681" w:rsidP="002A1681">
      <w:pPr>
        <w:pStyle w:val="NormalWeb"/>
        <w:numPr>
          <w:ilvl w:val="0"/>
          <w:numId w:val="15"/>
        </w:numPr>
        <w:tabs>
          <w:tab w:val="left" w:pos="7830"/>
        </w:tabs>
        <w:spacing w:line="288" w:lineRule="auto"/>
        <w:ind w:right="743"/>
        <w:rPr>
          <w:rFonts w:ascii="Arial" w:hAnsi="Arial" w:cs="Arial"/>
          <w:sz w:val="20"/>
          <w:szCs w:val="20"/>
        </w:rPr>
      </w:pPr>
      <w:r w:rsidRPr="002A1681">
        <w:rPr>
          <w:rFonts w:ascii="Arial" w:hAnsi="Arial" w:cs="Arial"/>
          <w:sz w:val="20"/>
          <w:szCs w:val="20"/>
        </w:rPr>
        <w:t>Schwebekörper-Durchflussmessgeräte DK46/47/48/800 mit SIL 2-Konformität verfügbar</w:t>
      </w:r>
    </w:p>
    <w:p w14:paraId="4C3FA373" w14:textId="3A2C9C52" w:rsidR="002A1681" w:rsidRDefault="002A1681" w:rsidP="002A1681">
      <w:pPr>
        <w:pStyle w:val="NormalWeb"/>
        <w:numPr>
          <w:ilvl w:val="0"/>
          <w:numId w:val="15"/>
        </w:numPr>
        <w:tabs>
          <w:tab w:val="left" w:pos="7830"/>
        </w:tabs>
        <w:spacing w:before="0" w:beforeAutospacing="0" w:after="0" w:afterAutospacing="0" w:line="288" w:lineRule="auto"/>
        <w:ind w:right="743"/>
        <w:rPr>
          <w:rFonts w:ascii="Arial" w:hAnsi="Arial" w:cs="Arial"/>
          <w:sz w:val="20"/>
          <w:szCs w:val="20"/>
        </w:rPr>
      </w:pPr>
      <w:r w:rsidRPr="002A1681">
        <w:rPr>
          <w:rFonts w:ascii="Arial" w:hAnsi="Arial" w:cs="Arial"/>
          <w:sz w:val="20"/>
          <w:szCs w:val="20"/>
        </w:rPr>
        <w:t>Erste und einzige SIL 2 Glaskonus-</w:t>
      </w:r>
      <w:proofErr w:type="spellStart"/>
      <w:r w:rsidRPr="002A1681">
        <w:rPr>
          <w:rFonts w:ascii="Arial" w:hAnsi="Arial" w:cs="Arial"/>
          <w:sz w:val="20"/>
          <w:szCs w:val="20"/>
        </w:rPr>
        <w:t>Kleindurchflussmessgeräte</w:t>
      </w:r>
      <w:proofErr w:type="spellEnd"/>
      <w:r w:rsidRPr="002A1681">
        <w:rPr>
          <w:rFonts w:ascii="Arial" w:hAnsi="Arial" w:cs="Arial"/>
          <w:sz w:val="20"/>
          <w:szCs w:val="20"/>
        </w:rPr>
        <w:t xml:space="preserve"> auf dem Markt</w:t>
      </w:r>
    </w:p>
    <w:p w14:paraId="648C772F" w14:textId="77777777" w:rsidR="00E3171A" w:rsidRPr="00E3171A" w:rsidRDefault="00E3171A" w:rsidP="00E3171A">
      <w:pPr>
        <w:pStyle w:val="NormalWeb"/>
        <w:tabs>
          <w:tab w:val="left" w:pos="7830"/>
        </w:tabs>
        <w:spacing w:before="0" w:beforeAutospacing="0" w:after="0" w:afterAutospacing="0" w:line="288" w:lineRule="auto"/>
        <w:ind w:right="743"/>
        <w:rPr>
          <w:rFonts w:ascii="Arial" w:hAnsi="Arial" w:cs="Arial"/>
          <w:sz w:val="20"/>
          <w:szCs w:val="20"/>
        </w:rPr>
      </w:pPr>
    </w:p>
    <w:p w14:paraId="2B0AEF52" w14:textId="77777777" w:rsidR="00F9628E" w:rsidRPr="00A02ABC" w:rsidRDefault="00F9628E" w:rsidP="0064268E">
      <w:pPr>
        <w:pStyle w:val="Normal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790BFB0B" w14:textId="2E674A77" w:rsidR="002A1681" w:rsidRDefault="003C0626" w:rsidP="002A1681">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2D4D20">
        <w:rPr>
          <w:rFonts w:ascii="Arial" w:hAnsi="Arial" w:cs="Arial"/>
          <w:color w:val="auto"/>
          <w:sz w:val="20"/>
          <w:szCs w:val="20"/>
        </w:rPr>
        <w:t>15</w:t>
      </w:r>
      <w:r w:rsidR="00916397">
        <w:rPr>
          <w:rFonts w:ascii="Arial" w:hAnsi="Arial" w:cs="Arial"/>
          <w:color w:val="auto"/>
          <w:sz w:val="20"/>
          <w:szCs w:val="20"/>
        </w:rPr>
        <w:t xml:space="preserve">. </w:t>
      </w:r>
      <w:r w:rsidR="002D4D20">
        <w:rPr>
          <w:rFonts w:ascii="Arial" w:hAnsi="Arial" w:cs="Arial"/>
          <w:color w:val="auto"/>
          <w:sz w:val="20"/>
          <w:szCs w:val="20"/>
        </w:rPr>
        <w:t>Oktober</w:t>
      </w:r>
      <w:r w:rsidR="0091276F" w:rsidRPr="00BE5458">
        <w:rPr>
          <w:rFonts w:ascii="Arial" w:hAnsi="Arial" w:cs="Arial"/>
          <w:sz w:val="20"/>
          <w:szCs w:val="20"/>
        </w:rPr>
        <w:t xml:space="preserve"> 20</w:t>
      </w:r>
      <w:r w:rsidR="00D3539B">
        <w:rPr>
          <w:rFonts w:ascii="Arial" w:hAnsi="Arial" w:cs="Arial"/>
          <w:sz w:val="20"/>
          <w:szCs w:val="20"/>
        </w:rPr>
        <w:t>20</w:t>
      </w:r>
      <w:r w:rsidR="00A016F0">
        <w:rPr>
          <w:rFonts w:ascii="Arial" w:hAnsi="Arial" w:cs="Arial"/>
          <w:sz w:val="20"/>
          <w:szCs w:val="20"/>
        </w:rPr>
        <w:t xml:space="preserve">: </w:t>
      </w:r>
      <w:r w:rsidR="002A1681" w:rsidRPr="002A1681">
        <w:rPr>
          <w:rFonts w:ascii="Arial" w:hAnsi="Arial" w:cs="Arial"/>
          <w:sz w:val="20"/>
          <w:szCs w:val="20"/>
        </w:rPr>
        <w:t xml:space="preserve">Die Schwebekörper-Durchflussmessgeräte DK46/47/48/800 mit Glaskonus sind in einer SIL 2 konformen Ausführung verfügbar. Sie sind die ersten und derzeit einzigen SIL 2 </w:t>
      </w:r>
      <w:proofErr w:type="spellStart"/>
      <w:r w:rsidR="002A1681" w:rsidRPr="002A1681">
        <w:rPr>
          <w:rFonts w:ascii="Arial" w:hAnsi="Arial" w:cs="Arial"/>
          <w:sz w:val="20"/>
          <w:szCs w:val="20"/>
        </w:rPr>
        <w:t>Kleindurchflussmessgeräte</w:t>
      </w:r>
      <w:proofErr w:type="spellEnd"/>
      <w:r w:rsidR="002A1681" w:rsidRPr="002A1681">
        <w:rPr>
          <w:rFonts w:ascii="Arial" w:hAnsi="Arial" w:cs="Arial"/>
          <w:sz w:val="20"/>
          <w:szCs w:val="20"/>
        </w:rPr>
        <w:t xml:space="preserve"> mit Glaskonus auf dem Markt.</w:t>
      </w:r>
    </w:p>
    <w:p w14:paraId="1E2DE747" w14:textId="77777777" w:rsidR="002A1681" w:rsidRPr="002A1681" w:rsidRDefault="002A1681" w:rsidP="002A1681">
      <w:pPr>
        <w:adjustRightInd w:val="0"/>
        <w:spacing w:line="288" w:lineRule="auto"/>
        <w:ind w:right="495"/>
        <w:jc w:val="both"/>
        <w:rPr>
          <w:rFonts w:ascii="Arial" w:hAnsi="Arial" w:cs="Arial"/>
          <w:sz w:val="20"/>
          <w:szCs w:val="20"/>
        </w:rPr>
      </w:pPr>
    </w:p>
    <w:p w14:paraId="5BAAC157" w14:textId="648D91F4" w:rsidR="002A1681" w:rsidRDefault="002A1681" w:rsidP="002A1681">
      <w:pPr>
        <w:adjustRightInd w:val="0"/>
        <w:spacing w:line="288" w:lineRule="auto"/>
        <w:ind w:right="495"/>
        <w:jc w:val="both"/>
        <w:rPr>
          <w:rFonts w:ascii="Arial" w:hAnsi="Arial" w:cs="Arial"/>
          <w:sz w:val="20"/>
          <w:szCs w:val="20"/>
        </w:rPr>
      </w:pPr>
      <w:r w:rsidRPr="002A1681">
        <w:rPr>
          <w:rFonts w:ascii="Arial" w:hAnsi="Arial" w:cs="Arial"/>
          <w:sz w:val="20"/>
          <w:szCs w:val="20"/>
        </w:rPr>
        <w:t>Die SIL-Option gilt für Geräte mit Prozessanschlüssen aus Edelstahl oder Kupfer mit bistabilen NAMUR Grenzwertschaltern und Anschlussdose. Sie kann mit ATEX-Zertifikaten kombiniert werden und gilt auch für Schwebekörper-Durchflussregler mit individuellen Ausfallwahrscheinlichkeiten.</w:t>
      </w:r>
    </w:p>
    <w:p w14:paraId="262535C1" w14:textId="77777777" w:rsidR="002A1681" w:rsidRPr="002A1681" w:rsidRDefault="002A1681" w:rsidP="002A1681">
      <w:pPr>
        <w:adjustRightInd w:val="0"/>
        <w:spacing w:line="288" w:lineRule="auto"/>
        <w:ind w:right="495"/>
        <w:jc w:val="both"/>
        <w:rPr>
          <w:rFonts w:ascii="Arial" w:hAnsi="Arial" w:cs="Arial"/>
          <w:sz w:val="20"/>
          <w:szCs w:val="20"/>
        </w:rPr>
      </w:pPr>
    </w:p>
    <w:p w14:paraId="40E36157" w14:textId="263798BC" w:rsidR="00E3171A" w:rsidRDefault="002A1681" w:rsidP="002A1681">
      <w:pPr>
        <w:adjustRightInd w:val="0"/>
        <w:spacing w:line="288" w:lineRule="auto"/>
        <w:ind w:right="495"/>
        <w:jc w:val="both"/>
        <w:rPr>
          <w:rFonts w:ascii="Arial" w:hAnsi="Arial" w:cs="Arial"/>
          <w:sz w:val="20"/>
          <w:szCs w:val="20"/>
        </w:rPr>
      </w:pPr>
      <w:r w:rsidRPr="002A1681">
        <w:rPr>
          <w:rFonts w:ascii="Arial" w:hAnsi="Arial" w:cs="Arial"/>
          <w:sz w:val="20"/>
          <w:szCs w:val="20"/>
        </w:rPr>
        <w:t>Typische Anwendungen für die SIL 2 Durchflussmessgeräte mit Glaskonus sind</w:t>
      </w:r>
      <w:r w:rsidR="00C716CD">
        <w:rPr>
          <w:rFonts w:ascii="Arial" w:hAnsi="Arial" w:cs="Arial"/>
          <w:sz w:val="20"/>
          <w:szCs w:val="20"/>
        </w:rPr>
        <w:t xml:space="preserve"> beispielsweise</w:t>
      </w:r>
      <w:r w:rsidRPr="002A1681">
        <w:rPr>
          <w:rFonts w:ascii="Arial" w:hAnsi="Arial" w:cs="Arial"/>
          <w:sz w:val="20"/>
          <w:szCs w:val="20"/>
        </w:rPr>
        <w:t xml:space="preserve"> die Probenstromüberwachung für Prozessanalysesysteme, die Überwachung der Gas- oder Flüssigkeitsversorgung für mechanische Dichtungssysteme, die Spülmedienüberwachung von Messsystemen (z.B. Differenzdruck-Durchflussmessung) oder </w:t>
      </w:r>
      <w:proofErr w:type="spellStart"/>
      <w:r w:rsidRPr="002A1681">
        <w:rPr>
          <w:rFonts w:ascii="Arial" w:hAnsi="Arial" w:cs="Arial"/>
          <w:sz w:val="20"/>
          <w:szCs w:val="20"/>
        </w:rPr>
        <w:t>Stickstoffinertisierung</w:t>
      </w:r>
      <w:proofErr w:type="spellEnd"/>
      <w:r w:rsidRPr="002A1681">
        <w:rPr>
          <w:rFonts w:ascii="Arial" w:hAnsi="Arial" w:cs="Arial"/>
          <w:sz w:val="20"/>
          <w:szCs w:val="20"/>
        </w:rPr>
        <w:t>.</w:t>
      </w:r>
    </w:p>
    <w:p w14:paraId="26AA0BA5" w14:textId="77777777" w:rsidR="002A1681" w:rsidRDefault="002A1681" w:rsidP="002A1681">
      <w:pPr>
        <w:adjustRightInd w:val="0"/>
        <w:spacing w:line="288" w:lineRule="auto"/>
        <w:ind w:right="495"/>
        <w:jc w:val="both"/>
        <w:rPr>
          <w:rFonts w:ascii="Arial" w:hAnsi="Arial" w:cs="Arial"/>
          <w:sz w:val="20"/>
          <w:szCs w:val="20"/>
        </w:rPr>
      </w:pPr>
    </w:p>
    <w:p w14:paraId="3D728B86" w14:textId="5E60CFF0" w:rsidR="00A02ABC" w:rsidRPr="002A1681" w:rsidRDefault="00937CD4" w:rsidP="00DA19D5">
      <w:pPr>
        <w:adjustRightInd w:val="0"/>
        <w:spacing w:line="288" w:lineRule="auto"/>
        <w:ind w:right="495"/>
        <w:jc w:val="both"/>
        <w:rPr>
          <w:rFonts w:ascii="Arial" w:hAnsi="Arial" w:cs="Arial"/>
          <w:color w:val="auto"/>
          <w:sz w:val="20"/>
          <w:szCs w:val="20"/>
        </w:rPr>
      </w:pPr>
      <w:r>
        <w:rPr>
          <w:rFonts w:ascii="Arial" w:hAnsi="Arial" w:cs="Arial"/>
          <w:sz w:val="20"/>
          <w:szCs w:val="20"/>
        </w:rPr>
        <w:t xml:space="preserve">Über KROHNE: </w:t>
      </w:r>
      <w:r w:rsidR="00D251F0">
        <w:rPr>
          <w:rFonts w:ascii="Arial" w:hAnsi="Arial" w:cs="Arial"/>
          <w:sz w:val="20"/>
          <w:szCs w:val="20"/>
        </w:rPr>
        <w:t>K</w:t>
      </w:r>
      <w:r w:rsidR="00D251F0" w:rsidRPr="00D251F0">
        <w:rPr>
          <w:rFonts w:ascii="Arial" w:hAnsi="Arial" w:cs="Arial"/>
          <w:sz w:val="20"/>
          <w:szCs w:val="20"/>
        </w:rPr>
        <w:t xml:space="preserve">ROHNE ist ein globaler Hersteller und Anbieter für Prozessmesstechnik, messtechnische Lösungen und Services in zahlreichen Industrien. Das 1921 gegründete Unternehmen mit Hauptsitz in Duisburg, </w:t>
      </w:r>
      <w:r w:rsidR="00D251F0" w:rsidRPr="002A1681">
        <w:rPr>
          <w:rFonts w:ascii="Arial" w:hAnsi="Arial" w:cs="Arial"/>
          <w:color w:val="auto"/>
          <w:sz w:val="20"/>
          <w:szCs w:val="20"/>
        </w:rPr>
        <w:t>Deutschland bietet mit über 4.000 Mitarbeitern umfangreiches Anwendungswissen und lokale Ansprechpartner für Instrumentierungsprojekte in über 100 Ländern. KROHNE steht für Innovation und höchste Produktqualität und gehört zu den Marktführern in der Prozessindustrie.</w:t>
      </w:r>
    </w:p>
    <w:p w14:paraId="6E5F75C2" w14:textId="77777777" w:rsidR="001110A1" w:rsidRPr="002A1681" w:rsidRDefault="001110A1" w:rsidP="0089045E">
      <w:pPr>
        <w:spacing w:line="288" w:lineRule="auto"/>
        <w:ind w:right="537"/>
        <w:jc w:val="both"/>
        <w:rPr>
          <w:rFonts w:ascii="Arial" w:hAnsi="Arial" w:cs="Arial"/>
          <w:color w:val="auto"/>
          <w:sz w:val="20"/>
          <w:szCs w:val="20"/>
        </w:rPr>
      </w:pPr>
    </w:p>
    <w:p w14:paraId="5F358AC3" w14:textId="0D8B4EA7" w:rsidR="001110A1" w:rsidRPr="002A1681" w:rsidRDefault="001110A1" w:rsidP="0089045E">
      <w:pPr>
        <w:spacing w:line="288" w:lineRule="auto"/>
        <w:ind w:right="537"/>
        <w:jc w:val="both"/>
        <w:rPr>
          <w:rFonts w:ascii="Arial" w:hAnsi="Arial" w:cs="Arial"/>
          <w:b/>
          <w:color w:val="auto"/>
          <w:sz w:val="20"/>
          <w:szCs w:val="20"/>
        </w:rPr>
      </w:pPr>
      <w:r w:rsidRPr="002A1681">
        <w:rPr>
          <w:rFonts w:ascii="Arial" w:hAnsi="Arial" w:cs="Arial"/>
          <w:b/>
          <w:color w:val="auto"/>
          <w:sz w:val="20"/>
          <w:szCs w:val="20"/>
        </w:rPr>
        <w:t>Bild 1:</w:t>
      </w:r>
    </w:p>
    <w:p w14:paraId="24193B46" w14:textId="7473D0B3" w:rsidR="001110A1" w:rsidRDefault="00C716CD" w:rsidP="0089045E">
      <w:pPr>
        <w:spacing w:line="288" w:lineRule="auto"/>
        <w:ind w:right="537"/>
        <w:jc w:val="both"/>
        <w:rPr>
          <w:rFonts w:ascii="Arial" w:hAnsi="Arial" w:cs="Arial"/>
          <w:sz w:val="20"/>
          <w:szCs w:val="20"/>
        </w:rPr>
      </w:pPr>
      <w:r>
        <w:rPr>
          <w:noProof/>
        </w:rPr>
        <w:drawing>
          <wp:inline distT="0" distB="0" distL="0" distR="0" wp14:anchorId="1A1A4FE7" wp14:editId="6E2AD0C2">
            <wp:extent cx="1046074" cy="2852928"/>
            <wp:effectExtent l="0" t="0" r="190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3437" cy="2900281"/>
                    </a:xfrm>
                    <a:prstGeom prst="rect">
                      <a:avLst/>
                    </a:prstGeom>
                    <a:noFill/>
                    <a:ln>
                      <a:noFill/>
                    </a:ln>
                  </pic:spPr>
                </pic:pic>
              </a:graphicData>
            </a:graphic>
          </wp:inline>
        </w:drawing>
      </w:r>
    </w:p>
    <w:p w14:paraId="7703BD80" w14:textId="6E23A839"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2A1681" w:rsidRPr="002A1681">
        <w:rPr>
          <w:rFonts w:ascii="Arial" w:hAnsi="Arial" w:cs="Arial"/>
          <w:sz w:val="20"/>
          <w:szCs w:val="20"/>
        </w:rPr>
        <w:t>DK46/47/48/800 Schwebekörper-Durchflussmessgeräte mit Glaskonus sind nun mit SIL 2-Konformität verfügbar</w:t>
      </w:r>
    </w:p>
    <w:p w14:paraId="6589C5DE" w14:textId="77777777" w:rsidR="00425D27" w:rsidRPr="00360855" w:rsidRDefault="00425D27" w:rsidP="0089045E">
      <w:pPr>
        <w:spacing w:line="288" w:lineRule="auto"/>
        <w:ind w:right="537"/>
        <w:jc w:val="both"/>
        <w:rPr>
          <w:rFonts w:ascii="Arial" w:hAnsi="Arial" w:cs="Arial"/>
          <w:sz w:val="20"/>
          <w:szCs w:val="20"/>
        </w:rPr>
      </w:pPr>
    </w:p>
    <w:p w14:paraId="68F8B501"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lastRenderedPageBreak/>
        <w:t>Herausgegeben für die KROHNE Gruppe von</w:t>
      </w:r>
      <w:r w:rsidRPr="009A075D">
        <w:rPr>
          <w:rFonts w:ascii="Arial" w:hAnsi="Arial" w:cs="Arial"/>
          <w:b/>
          <w:sz w:val="20"/>
          <w:szCs w:val="20"/>
        </w:rPr>
        <w:t>:</w:t>
      </w:r>
    </w:p>
    <w:p w14:paraId="2844E937"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KROHNE Messtechnik GmbH</w:t>
      </w:r>
    </w:p>
    <w:p w14:paraId="76B3B48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Ludwig-Krohne-Str. 5</w:t>
      </w:r>
    </w:p>
    <w:p w14:paraId="6720845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47058 Duisburg</w:t>
      </w:r>
    </w:p>
    <w:p w14:paraId="6580EDF7" w14:textId="77777777" w:rsidR="00A54D8D" w:rsidRPr="00F9628E" w:rsidRDefault="002D4D20" w:rsidP="00A54D8D">
      <w:pPr>
        <w:adjustRightInd w:val="0"/>
        <w:spacing w:line="288" w:lineRule="auto"/>
        <w:rPr>
          <w:rFonts w:ascii="Arial" w:hAnsi="Arial" w:cs="Arial"/>
          <w:sz w:val="20"/>
          <w:szCs w:val="20"/>
        </w:rPr>
      </w:pPr>
      <w:hyperlink r:id="rId9" w:history="1">
        <w:r w:rsidR="00A54D8D" w:rsidRPr="00F9628E">
          <w:rPr>
            <w:rStyle w:val="Hyperlink"/>
            <w:rFonts w:ascii="Arial" w:hAnsi="Arial" w:cs="Arial"/>
            <w:sz w:val="20"/>
            <w:szCs w:val="20"/>
          </w:rPr>
          <w:t>www.krohne.com</w:t>
        </w:r>
      </w:hyperlink>
    </w:p>
    <w:p w14:paraId="1E361511" w14:textId="77777777" w:rsidR="00A54D8D" w:rsidRDefault="00A54D8D" w:rsidP="00A54D8D">
      <w:pPr>
        <w:adjustRightInd w:val="0"/>
        <w:spacing w:line="288" w:lineRule="auto"/>
        <w:rPr>
          <w:rFonts w:ascii="Arial" w:hAnsi="Arial" w:cs="Arial"/>
          <w:sz w:val="20"/>
          <w:szCs w:val="20"/>
        </w:rPr>
      </w:pPr>
    </w:p>
    <w:p w14:paraId="1BD2FC14"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081D4903"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66869EFA"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558DC113" w14:textId="77777777" w:rsidR="00A54D8D" w:rsidRPr="00E42632" w:rsidRDefault="002D4D20" w:rsidP="00A54D8D">
      <w:pPr>
        <w:adjustRightInd w:val="0"/>
        <w:spacing w:line="288" w:lineRule="auto"/>
        <w:rPr>
          <w:rFonts w:ascii="Arial" w:hAnsi="Arial" w:cs="Arial"/>
          <w:sz w:val="20"/>
          <w:szCs w:val="20"/>
          <w:lang w:val="en-GB"/>
        </w:rPr>
      </w:pPr>
      <w:hyperlink r:id="rId10" w:history="1">
        <w:r w:rsidR="00A54D8D" w:rsidRPr="00E42632">
          <w:rPr>
            <w:rStyle w:val="Hyperlink"/>
            <w:rFonts w:ascii="Arial" w:hAnsi="Arial" w:cs="Arial"/>
            <w:sz w:val="20"/>
            <w:szCs w:val="20"/>
            <w:lang w:val="en-GB"/>
          </w:rPr>
          <w:t>j.holtmann@krohne.com</w:t>
        </w:r>
      </w:hyperlink>
    </w:p>
    <w:p w14:paraId="5198AC24"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53BB2" w14:textId="77777777" w:rsidR="001618DE" w:rsidRDefault="001618DE">
      <w:r>
        <w:separator/>
      </w:r>
    </w:p>
  </w:endnote>
  <w:endnote w:type="continuationSeparator" w:id="0">
    <w:p w14:paraId="20D8914B" w14:textId="77777777"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36AA4EC3" w14:textId="77777777" w:rsidTr="00545162">
      <w:trPr>
        <w:trHeight w:val="567"/>
      </w:trPr>
      <w:tc>
        <w:tcPr>
          <w:tcW w:w="7200" w:type="dxa"/>
          <w:shd w:val="clear" w:color="auto" w:fill="auto"/>
          <w:tcMar>
            <w:top w:w="113" w:type="dxa"/>
            <w:left w:w="0" w:type="dxa"/>
            <w:right w:w="0" w:type="dxa"/>
          </w:tcMar>
        </w:tcPr>
        <w:p w14:paraId="196FED5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5F0EC68"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PageNumber"/>
              <w:rFonts w:cs="Arial"/>
              <w:sz w:val="16"/>
              <w:szCs w:val="16"/>
            </w:rPr>
            <w:t>/</w:t>
          </w:r>
          <w:r w:rsidR="002D4D20">
            <w:fldChar w:fldCharType="begin"/>
          </w:r>
          <w:r w:rsidR="002D4D20">
            <w:instrText xml:space="preserve"> NUMPAGES </w:instrText>
          </w:r>
          <w:r w:rsidR="002D4D20">
            <w:fldChar w:fldCharType="separate"/>
          </w:r>
          <w:r w:rsidR="00EA4CE2">
            <w:rPr>
              <w:noProof/>
            </w:rPr>
            <w:t>2</w:t>
          </w:r>
          <w:r w:rsidR="002D4D20">
            <w:rPr>
              <w:noProof/>
            </w:rPr>
            <w:fldChar w:fldCharType="end"/>
          </w:r>
        </w:p>
      </w:tc>
    </w:tr>
  </w:tbl>
  <w:p w14:paraId="3E9C67C8" w14:textId="77777777" w:rsidR="00D468C0" w:rsidRDefault="00D46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5D85" w14:textId="77777777" w:rsidR="001618DE" w:rsidRDefault="001618DE">
      <w:r>
        <w:separator/>
      </w:r>
    </w:p>
  </w:footnote>
  <w:footnote w:type="continuationSeparator" w:id="0">
    <w:p w14:paraId="4589EB49" w14:textId="77777777" w:rsidR="001618DE" w:rsidRDefault="0016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2B1FE" w14:textId="77777777" w:rsidR="00D468C0" w:rsidRDefault="00D468C0">
    <w:pPr>
      <w:pStyle w:val="Header"/>
    </w:pPr>
    <w:r>
      <w:rPr>
        <w:noProof/>
      </w:rPr>
      <w:drawing>
        <wp:anchor distT="0" distB="0" distL="114300" distR="114300" simplePos="0" relativeHeight="251658240" behindDoc="1" locked="0" layoutInCell="1" allowOverlap="1" wp14:anchorId="08D97492" wp14:editId="1959AE54">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0818337" wp14:editId="23939F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71565A99"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818337"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71565A99"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27DD"/>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C510E"/>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9501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0E42"/>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681"/>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4D20"/>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0656D"/>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538B"/>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3B7"/>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242"/>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16F0"/>
    <w:rsid w:val="00A02ABC"/>
    <w:rsid w:val="00A03BC5"/>
    <w:rsid w:val="00A04C8F"/>
    <w:rsid w:val="00A0529C"/>
    <w:rsid w:val="00A05ED7"/>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54D8D"/>
    <w:rsid w:val="00A56101"/>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49E2"/>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16CD"/>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5BD"/>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51F0"/>
    <w:rsid w:val="00D2606C"/>
    <w:rsid w:val="00D33512"/>
    <w:rsid w:val="00D346FC"/>
    <w:rsid w:val="00D348F2"/>
    <w:rsid w:val="00D3539B"/>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62E"/>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71A"/>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41F3"/>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318"/>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22F9896"/>
  <w15:docId w15:val="{7446F4D9-C1B4-467F-9CD5-CC5860BB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FollowedHyperlink">
    <w:name w:val="FollowedHyperlink"/>
    <w:basedOn w:val="DefaultParagraphFont"/>
    <w:rsid w:val="00CB061B"/>
    <w:rPr>
      <w:color w:val="800080" w:themeColor="followedHyperlink"/>
      <w:u w:val="single"/>
    </w:rPr>
  </w:style>
  <w:style w:type="character" w:styleId="UnresolvedMention">
    <w:name w:val="Unresolved Mention"/>
    <w:basedOn w:val="DefaultParagraphFont"/>
    <w:uiPriority w:val="99"/>
    <w:semiHidden/>
    <w:unhideWhenUsed/>
    <w:rsid w:val="00A5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37591865">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F1738-E772-4607-800E-67EBD799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290</Words>
  <Characters>1832</Characters>
  <Application>Microsoft Office Word</Application>
  <DocSecurity>0</DocSecurity>
  <Lines>15</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2118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2012-06-14T17:54:00Z</cp:lastPrinted>
  <dcterms:created xsi:type="dcterms:W3CDTF">2020-07-14T09:09:00Z</dcterms:created>
  <dcterms:modified xsi:type="dcterms:W3CDTF">2020-10-13T15:01:00Z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