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52" w:rsidRDefault="00B1453F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r w:rsidRPr="00B1453F">
        <w:rPr>
          <w:rFonts w:ascii="Arial" w:hAnsi="Arial" w:cs="Arial"/>
          <w:b/>
          <w:sz w:val="32"/>
          <w:szCs w:val="32"/>
        </w:rPr>
        <w:t>Nové p</w:t>
      </w:r>
      <w:r w:rsidRPr="00B1453F">
        <w:rPr>
          <w:rFonts w:ascii="Arial" w:hAnsi="Arial" w:cs="Arial" w:hint="eastAsia"/>
          <w:b/>
          <w:sz w:val="32"/>
          <w:szCs w:val="32"/>
        </w:rPr>
        <w:t>ří</w:t>
      </w:r>
      <w:r w:rsidRPr="00B1453F">
        <w:rPr>
          <w:rFonts w:ascii="Arial" w:hAnsi="Arial" w:cs="Arial"/>
          <w:b/>
          <w:sz w:val="32"/>
          <w:szCs w:val="32"/>
        </w:rPr>
        <w:t>r</w:t>
      </w:r>
      <w:r w:rsidRPr="00B1453F">
        <w:rPr>
          <w:rFonts w:ascii="Arial" w:hAnsi="Arial" w:cs="Arial" w:hint="eastAsia"/>
          <w:b/>
          <w:sz w:val="32"/>
          <w:szCs w:val="32"/>
        </w:rPr>
        <w:t>ů</w:t>
      </w:r>
      <w:r w:rsidRPr="00B1453F">
        <w:rPr>
          <w:rFonts w:ascii="Arial" w:hAnsi="Arial" w:cs="Arial"/>
          <w:b/>
          <w:sz w:val="32"/>
          <w:szCs w:val="32"/>
        </w:rPr>
        <w:t xml:space="preserve">stky </w:t>
      </w:r>
      <w:r w:rsidRPr="00B1453F">
        <w:rPr>
          <w:rFonts w:ascii="Arial" w:hAnsi="Arial" w:cs="Arial" w:hint="eastAsia"/>
          <w:b/>
          <w:sz w:val="32"/>
          <w:szCs w:val="32"/>
        </w:rPr>
        <w:t>ř</w:t>
      </w:r>
      <w:r w:rsidRPr="00B1453F">
        <w:rPr>
          <w:rFonts w:ascii="Arial" w:hAnsi="Arial" w:cs="Arial"/>
          <w:b/>
          <w:sz w:val="32"/>
          <w:szCs w:val="32"/>
        </w:rPr>
        <w:t>ady hladinom</w:t>
      </w:r>
      <w:r w:rsidRPr="00B1453F">
        <w:rPr>
          <w:rFonts w:ascii="Arial" w:hAnsi="Arial" w:cs="Arial" w:hint="eastAsia"/>
          <w:b/>
          <w:sz w:val="32"/>
          <w:szCs w:val="32"/>
        </w:rPr>
        <w:t>ě</w:t>
      </w:r>
      <w:r w:rsidRPr="00B1453F">
        <w:rPr>
          <w:rFonts w:ascii="Arial" w:hAnsi="Arial" w:cs="Arial"/>
          <w:b/>
          <w:sz w:val="32"/>
          <w:szCs w:val="32"/>
        </w:rPr>
        <w:t>r</w:t>
      </w:r>
      <w:r w:rsidRPr="00B1453F">
        <w:rPr>
          <w:rFonts w:ascii="Arial" w:hAnsi="Arial" w:cs="Arial" w:hint="eastAsia"/>
          <w:b/>
          <w:sz w:val="32"/>
          <w:szCs w:val="32"/>
        </w:rPr>
        <w:t>ů</w:t>
      </w:r>
      <w:r w:rsidRPr="00B1453F">
        <w:rPr>
          <w:rFonts w:ascii="Arial" w:hAnsi="Arial" w:cs="Arial"/>
          <w:b/>
          <w:sz w:val="32"/>
          <w:szCs w:val="32"/>
        </w:rPr>
        <w:t xml:space="preserve"> OPTIFLEX</w:t>
      </w:r>
    </w:p>
    <w:p w:rsidR="00B1453F" w:rsidRPr="00B1453F" w:rsidRDefault="00B1453F" w:rsidP="00B1453F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ty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nové vedené radarové (TDR) hladinom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ry ur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ené pro ur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ité oblasti aplikací, v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etn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hygienických, v nebezpe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ných prostorech, za vysokých teplot/tlak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nebo s funk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ní bezpe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ností</w:t>
      </w:r>
    </w:p>
    <w:p w:rsidR="00B1453F" w:rsidRPr="00B1453F" w:rsidRDefault="00B1453F" w:rsidP="00B1453F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Dynamická kompenzace plynné fáze (DGC) u souosých senzor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: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esné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ení v aplikacích, kde se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nit složení plynu nad hladinou kapaliny</w:t>
      </w:r>
    </w:p>
    <w:p w:rsidR="00B1453F" w:rsidRPr="004A6D8D" w:rsidRDefault="00B1453F" w:rsidP="00B1453F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Výstup 2vodi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ový 4…20 mA HART 7, 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zné varianty sníma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a t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snicích systém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, kompaktní nebo odd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lené provedení</w:t>
      </w:r>
    </w:p>
    <w:p w:rsidR="004A6D8D" w:rsidRPr="004A6D8D" w:rsidRDefault="004A6D8D" w:rsidP="004A6D8D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:rsidR="00B1453F" w:rsidRDefault="00AB2BB1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A65534" w:rsidRPr="00A65534">
        <w:rPr>
          <w:rFonts w:ascii="Arial" w:hAnsi="Arial" w:cs="Arial"/>
          <w:color w:val="auto"/>
          <w:sz w:val="20"/>
          <w:szCs w:val="20"/>
          <w:lang w:val="en-US"/>
        </w:rPr>
        <w:t>11</w:t>
      </w:r>
      <w:r w:rsidRPr="00A65534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r w:rsidR="00A65534" w:rsidRPr="00A65534">
        <w:rPr>
          <w:rFonts w:ascii="Arial" w:hAnsi="Arial" w:cs="Arial"/>
          <w:color w:val="auto"/>
          <w:sz w:val="20"/>
          <w:szCs w:val="20"/>
          <w:lang w:val="en-US"/>
        </w:rPr>
        <w:t xml:space="preserve">prosinec </w:t>
      </w:r>
      <w:r w:rsidRPr="004A6D8D">
        <w:rPr>
          <w:rFonts w:ascii="Arial" w:hAnsi="Arial" w:cs="Arial"/>
          <w:color w:val="auto"/>
          <w:sz w:val="20"/>
          <w:szCs w:val="20"/>
          <w:lang w:val="en-US"/>
        </w:rPr>
        <w:t>2019</w:t>
      </w:r>
      <w:r w:rsidR="004A6D8D" w:rsidRPr="00A6553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Firma KROHNE p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edstavuje 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ty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i nové p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stky do rodiny vedených radarových (TDR) hladinom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. Každý p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stroj je ur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en pro ur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itou oblast aplikace v chemii, ropném a plynárenském pr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myslu, energetice, hornictv</w:t>
      </w:r>
      <w:bookmarkStart w:id="0" w:name="_GoBack"/>
      <w:bookmarkEnd w:id="0"/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í, hutnictví, farmacii nebo potraviná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ském pr</w:t>
      </w:r>
      <w:r w:rsidR="00B1453F"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B1453F" w:rsidRPr="00B1453F">
        <w:rPr>
          <w:rFonts w:ascii="Arial" w:hAnsi="Arial" w:cs="Arial"/>
          <w:color w:val="auto"/>
          <w:sz w:val="20"/>
          <w:szCs w:val="20"/>
          <w:lang w:val="en-US"/>
        </w:rPr>
        <w:t>myslu.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OPTIFLEX 3200 je ur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edevším pro aplikace s hygienickými požadavky ve farmacii, potraviná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ském a nápojovém pr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myslu. Má hygienické provedení odolávající proces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 CIP/SIP pro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ení výšky hladiny a rozhraní kapalin v malých nádržích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teplotách do +150°C / +302°F a tlacích do 40 barg / 580 psig. Nevadí mu kondenzace,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tomnost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ny ani páry, v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icím rozsahu 0,6…4 m / 1,97…13,12 ft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s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esností ±2 mm / ±0,08¨.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OPTIFLEX 6200 je ur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 k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ení pevných látek ve form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granulátu nebo prášku v chemickém pr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myslu, zem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lství, potraviná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ství, hornictví a hutnictví. Používá se v silech s výškou až 40 m / 131 ft a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s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esností ±2 mm / ±0,08". Jeho konstrukce odolává velkým trak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ním zatížením a provozním podmínkám do +200°C / +392°F; 40 barg / 580 psig, nevadí mu prašné okolní prost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edí ani usazeniny nebo nánosy na sníma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OPTIFLEX 7200 je vhodný zejména pro aplikace v chemickém, ropném a plynárenském pr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myslu a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výšku hladiny a rozhraní kapalin v procesních a skladovacích nádržích s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esností ±2 mm / ±0,08¨. Dodává se s mnoha variantami sníma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pro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ené vzdálenosti až 60 m / 197 ft a relativní permitivity od 1,3 (1,1 v režimu TBF), a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it i agresivní média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teplotách do +250°C / +482°F a tlacích max. 100 barg / 1450 psig.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>OPTIFLEX 8200 má podobné vlastnosti a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ůž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 být vybaven dvojitým keramickým t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snicím systémem pro kapaliny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teplotách až +315°C / +599°F a tlacích až 320 barg / 4641 psig. Oba hladinom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ry používají pro souosé senzory algoritmus Dynamické kompenzace plynn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fáze (DGC,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ipravuje se), umož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ující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esné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ení v aplikacích, kde se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ní složení plynu nad hladinou kapaliny, nap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. v parních kotlích, a to bez zv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tšení mrtvé vzdálenosti.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Všechny 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ty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nové hladinom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ry mají 2vodi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ový výstup 4…20 mA s komunikací HART 7, na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ní pak i druhý výstup (proudový nebo reléový), a hodiny reálného 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asu pro záznam událostí. Byly vyvinuty v souladu s požadavky na SIL2/3 podle IEC 61508 pro systémy související s bezpe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ností a jsou schváleny pro použití v prostorech s nebezpe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 výbuchu. Spole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nými prvky jsou rovn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rychlospojka a kompaktní nebo odd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lené (ve vzdálenosti až 100 m / 328 ft) provedení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evodníku s krytem z hliníku nebo korozivzdorné oceli. Všechny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stroje mají krytí IP66, IP68 a NEMA 4X/6P.</w:t>
      </w:r>
    </w:p>
    <w:p w:rsidR="00B1453F" w:rsidRPr="00B1453F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A6D8D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1453F">
        <w:rPr>
          <w:rFonts w:ascii="Arial" w:hAnsi="Arial" w:cs="Arial"/>
          <w:color w:val="auto"/>
          <w:sz w:val="20"/>
          <w:szCs w:val="20"/>
          <w:lang w:val="en-US"/>
        </w:rPr>
        <w:lastRenderedPageBreak/>
        <w:t>Portfolio vedených radarových (TDR) hladinom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firmy KROHNE dopl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ují cenov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 xml:space="preserve">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stupný OPTIFLEX 1100 pro základní aplikace p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i m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ení kapalin a POWERFLEX 2200 pro kapaliny v jaderném pr</w:t>
      </w:r>
      <w:r w:rsidRPr="00B1453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B1453F">
        <w:rPr>
          <w:rFonts w:ascii="Arial" w:hAnsi="Arial" w:cs="Arial"/>
          <w:color w:val="auto"/>
          <w:sz w:val="20"/>
          <w:szCs w:val="20"/>
          <w:lang w:val="en-US"/>
        </w:rPr>
        <w:t>myslu</w:t>
      </w:r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B1453F" w:rsidRPr="004A6D8D" w:rsidRDefault="00B1453F" w:rsidP="00B1453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B28F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HART je registrovanou ochrannou známkou FieldComm Group</w:t>
      </w:r>
    </w:p>
    <w:p w:rsidR="004A6D8D" w:rsidRPr="004A6D8D" w:rsidRDefault="004A6D8D" w:rsidP="004A6D8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CD6CA1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O firmě KROHNE:</w:t>
      </w:r>
    </w:p>
    <w:p w:rsidR="00AD095C" w:rsidRDefault="00F1542F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color w:val="auto"/>
          <w:sz w:val="20"/>
          <w:szCs w:val="20"/>
          <w:lang w:val="en-GB"/>
        </w:rPr>
        <w:t>Firma KROHNE je dodavatelem procesních měřicích technologií pro měření průtoku, hmotnostního průtoku, výšky hladiny, tlaku a teploty, a také analytických veličin. Firma byla založena v roce 1921, sídlí v německém Duisburgu a v současné době má více než 3900 zaměstnanců v závodech a pobočkách po celém světě. Firma KROHNE usiluje o maximální kvalitu výrobků a neustálé inovace a patří k předním světovým výrobcům procesní instrumentace.</w:t>
      </w:r>
    </w:p>
    <w:p w:rsidR="00C040BA" w:rsidRDefault="00C040B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</w:rPr>
        <w:t>Obrázek:</w:t>
      </w:r>
    </w:p>
    <w:p w:rsidR="00790CD5" w:rsidRPr="00C56154" w:rsidRDefault="00A65534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color w:val="auto"/>
          <w:sz w:val="20"/>
          <w:szCs w:val="20"/>
          <w:lang w:val="en-US"/>
        </w:rPr>
        <w:pict>
          <v:shape id="_x0000_i1028" type="#_x0000_t75" style="width:298.15pt;height:198.85pt">
            <v:imagedata r:id="rId9" o:title="PR_OPTIFLEX_POWERFLEX"/>
          </v:shape>
        </w:pict>
      </w:r>
    </w:p>
    <w:p w:rsidR="004D4903" w:rsidRDefault="00CC713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sz w:val="20"/>
          <w:szCs w:val="20"/>
          <w:lang w:val="en-US"/>
        </w:rPr>
      </w:pPr>
      <w:r w:rsidRPr="004A6D8D">
        <w:rPr>
          <w:rFonts w:ascii="Arial" w:hAnsi="Arial"/>
          <w:b/>
          <w:sz w:val="20"/>
          <w:szCs w:val="20"/>
          <w:lang w:val="en-US"/>
        </w:rPr>
        <w:t xml:space="preserve">Titulek: 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Ř</w:t>
      </w:r>
      <w:r w:rsidR="00B1453F" w:rsidRPr="00B1453F">
        <w:rPr>
          <w:rFonts w:ascii="Arial" w:hAnsi="Arial"/>
          <w:sz w:val="20"/>
          <w:szCs w:val="20"/>
          <w:lang w:val="en-US"/>
        </w:rPr>
        <w:t>ada vedených radarových hladinom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ě</w:t>
      </w:r>
      <w:r w:rsidR="00B1453F" w:rsidRPr="00B1453F">
        <w:rPr>
          <w:rFonts w:ascii="Arial" w:hAnsi="Arial"/>
          <w:sz w:val="20"/>
          <w:szCs w:val="20"/>
          <w:lang w:val="en-US"/>
        </w:rPr>
        <w:t>r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ů</w:t>
      </w:r>
      <w:r w:rsidR="00B1453F" w:rsidRPr="00B1453F">
        <w:rPr>
          <w:rFonts w:ascii="Arial" w:hAnsi="Arial"/>
          <w:sz w:val="20"/>
          <w:szCs w:val="20"/>
          <w:lang w:val="en-US"/>
        </w:rPr>
        <w:t xml:space="preserve"> OPTIFLEX ur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č</w:t>
      </w:r>
      <w:r w:rsidR="00B1453F" w:rsidRPr="00B1453F">
        <w:rPr>
          <w:rFonts w:ascii="Arial" w:hAnsi="Arial"/>
          <w:sz w:val="20"/>
          <w:szCs w:val="20"/>
          <w:lang w:val="en-US"/>
        </w:rPr>
        <w:t>ených pro aplikace v r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ů</w:t>
      </w:r>
      <w:r w:rsidR="00B1453F" w:rsidRPr="00B1453F">
        <w:rPr>
          <w:rFonts w:ascii="Arial" w:hAnsi="Arial"/>
          <w:sz w:val="20"/>
          <w:szCs w:val="20"/>
          <w:lang w:val="en-US"/>
        </w:rPr>
        <w:t>zných pr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ů</w:t>
      </w:r>
      <w:r w:rsidR="00B1453F" w:rsidRPr="00B1453F">
        <w:rPr>
          <w:rFonts w:ascii="Arial" w:hAnsi="Arial"/>
          <w:sz w:val="20"/>
          <w:szCs w:val="20"/>
          <w:lang w:val="en-US"/>
        </w:rPr>
        <w:t>myslových odv</w:t>
      </w:r>
      <w:r w:rsidR="00B1453F" w:rsidRPr="00B1453F">
        <w:rPr>
          <w:rFonts w:ascii="Arial" w:hAnsi="Arial" w:hint="eastAsia"/>
          <w:sz w:val="20"/>
          <w:szCs w:val="20"/>
          <w:lang w:val="en-US"/>
        </w:rPr>
        <w:t>ě</w:t>
      </w:r>
      <w:r w:rsidR="00B1453F" w:rsidRPr="00B1453F">
        <w:rPr>
          <w:rFonts w:ascii="Arial" w:hAnsi="Arial"/>
          <w:sz w:val="20"/>
          <w:szCs w:val="20"/>
          <w:lang w:val="en-US"/>
        </w:rPr>
        <w:t>tvích</w:t>
      </w:r>
    </w:p>
    <w:p w:rsidR="003815BC" w:rsidRPr="004D4903" w:rsidRDefault="003815BC" w:rsidP="003815BC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:rsidR="00F9628E" w:rsidRPr="00BB28FD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Vydáno:</w:t>
      </w:r>
    </w:p>
    <w:p w:rsidR="00F9628E" w:rsidRPr="001B05D1" w:rsidRDefault="00F9628E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KROHNE Messtechnik GmbH</w:t>
      </w: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F9628E" w:rsidRPr="000F4488" w:rsidRDefault="00A65534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fr-FR"/>
        </w:rPr>
      </w:pPr>
      <w:hyperlink r:id="rId10" w:history="1">
        <w:r w:rsidR="00C31D97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F9628E" w:rsidRPr="000F448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fr-FR"/>
        </w:rPr>
      </w:pP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>Tiskový kontakt:</w:t>
      </w:r>
    </w:p>
    <w:p w:rsidR="00F9628E" w:rsidRPr="000F448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F9628E" w:rsidRPr="00F9628E" w:rsidRDefault="00984C32" w:rsidP="00F962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F9628E" w:rsidRPr="008A31A5" w:rsidRDefault="00A65534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1" w:history="1">
        <w:r w:rsidR="00C31D97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F9628E" w:rsidRPr="008A31A5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538FA9" w15:done="0"/>
  <w15:commentEx w15:paraId="1A333022" w15:done="0"/>
  <w15:commentEx w15:paraId="4D522F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538FA9" w16cid:durableId="1FF591DF"/>
  <w16cid:commentId w16cid:paraId="1A333022" w16cid:durableId="1FF5930B"/>
  <w16cid:commentId w16cid:paraId="4D522F55" w16cid:durableId="1FF593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AB" w:rsidRDefault="002625AB">
      <w:r>
        <w:separator/>
      </w:r>
    </w:p>
  </w:endnote>
  <w:endnote w:type="continuationSeparator" w:id="0">
    <w:p w:rsidR="002625AB" w:rsidRDefault="0026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65534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A65534">
            <w:rPr>
              <w:noProof/>
            </w:rPr>
            <w:t>2</w:t>
          </w:r>
          <w:r>
            <w:fldChar w:fldCharType="end"/>
          </w:r>
        </w:p>
      </w:tc>
    </w:tr>
  </w:tbl>
  <w:p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AB" w:rsidRDefault="002625AB">
      <w:r>
        <w:separator/>
      </w:r>
    </w:p>
  </w:footnote>
  <w:footnote w:type="continuationSeparator" w:id="0">
    <w:p w:rsidR="002625AB" w:rsidRDefault="0026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4FA24CE" wp14:editId="5B62B2AC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6D6765" wp14:editId="242471A6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6CD9" w:rsidRDefault="00296CD9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</w:rPr>
                            <w:t>Tisková zpráva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296CD9" w:rsidRDefault="00296CD9" w:rsidP="00AA366C">
                    <w:pPr>
                      <w:pStyle w:val="1CDPressRelease"/>
                    </w:pPr>
                    <w:r>
                      <w:rPr>
                        <w:rFonts w:ascii="Arial" w:hAnsi="Arial" w:cs="Arial"/>
                      </w:rPr>
                      <w:t xml:space="preserve">Tisková zpráva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egel, Bastian">
    <w15:presenceInfo w15:providerId="AD" w15:userId="S::dehegelb@krohne.com::b35f8ef3-7718-4c4e-b95f-a60fcaa84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5534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53F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57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6ACE-E550-42BE-9DB7-9BA4CAD3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608</Words>
  <Characters>3561</Characters>
  <Application>Microsoft Office Word</Application>
  <DocSecurity>0</DocSecurity>
  <Lines>29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4161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2</cp:revision>
  <cp:lastPrinted>2017-02-02T13:18:00Z</cp:lastPrinted>
  <dcterms:created xsi:type="dcterms:W3CDTF">2019-12-10T17:08:00Z</dcterms:created>
  <dcterms:modified xsi:type="dcterms:W3CDTF">2019-12-10T17:08:00Z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