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34C" w:rsidRDefault="00505FDD" w:rsidP="0032434C">
      <w:pPr>
        <w:adjustRightInd w:val="0"/>
        <w:spacing w:line="288" w:lineRule="auto"/>
        <w:ind w:right="495"/>
        <w:jc w:val="both"/>
        <w:rPr>
          <w:rFonts w:ascii="Arial" w:hAnsi="Arial" w:cs="Arial"/>
          <w:b/>
          <w:color w:val="auto"/>
          <w:sz w:val="28"/>
          <w:szCs w:val="32"/>
          <w:lang w:val="fr-FR"/>
        </w:rPr>
      </w:pPr>
      <w:r w:rsidRPr="00505FDD">
        <w:rPr>
          <w:rFonts w:ascii="Arial" w:hAnsi="Arial" w:cs="Arial"/>
          <w:b/>
          <w:color w:val="auto"/>
          <w:sz w:val="28"/>
          <w:szCs w:val="32"/>
          <w:lang w:val="fr-FR"/>
        </w:rPr>
        <w:t>Homologation MI-004 pour les débitmètres électromagnétiques WATERFLUX et OPTIFLUX</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505FDD" w:rsidRPr="00505FDD" w:rsidRDefault="00505FDD" w:rsidP="00505FD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05FDD">
        <w:rPr>
          <w:rFonts w:ascii="Arial" w:hAnsi="Arial" w:cs="Arial"/>
          <w:sz w:val="20"/>
          <w:szCs w:val="20"/>
        </w:rPr>
        <w:t>Pour une utilisation comme compteurs d'énergie thermique dans un système de mesure de la chaleur</w:t>
      </w:r>
    </w:p>
    <w:p w:rsidR="00505FDD" w:rsidRPr="00505FDD" w:rsidRDefault="00505FDD" w:rsidP="00505FD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505FDD">
        <w:rPr>
          <w:rFonts w:ascii="Arial" w:hAnsi="Arial" w:cs="Arial"/>
          <w:sz w:val="20"/>
          <w:szCs w:val="20"/>
        </w:rPr>
        <w:t>L'étalonnage MI-004 peut être réalisé par le biais du module D ou du module F</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505FDD" w:rsidRPr="00505FDD" w:rsidRDefault="00505FDD" w:rsidP="00505FDD">
      <w:pPr>
        <w:adjustRightInd w:val="0"/>
        <w:spacing w:line="288" w:lineRule="auto"/>
        <w:ind w:right="495"/>
        <w:jc w:val="both"/>
        <w:rPr>
          <w:rFonts w:ascii="Arial" w:hAnsi="Arial" w:cs="Arial"/>
          <w:color w:val="auto"/>
          <w:sz w:val="20"/>
          <w:szCs w:val="20"/>
          <w:lang w:val="fr-FR"/>
        </w:rPr>
      </w:pPr>
      <w:r w:rsidRPr="00FA28DB">
        <w:rPr>
          <w:rFonts w:ascii="Arial" w:hAnsi="Arial" w:cs="Arial"/>
          <w:b/>
          <w:color w:val="auto"/>
          <w:sz w:val="20"/>
          <w:szCs w:val="20"/>
          <w:lang w:val="fr-FR"/>
        </w:rPr>
        <w:t>Les débitmètres électromagnétiques WATERFLUX 3300, WATERFLUX 3070 et OPTIFLUX 4300 bénéficient désormais de l'homologation MI-004 applicable aux compteurs d’énergie thermique, selon la directive 2014/32/UE annexe VI relative aux instruments de mesure.</w:t>
      </w:r>
      <w:r w:rsidRPr="00505FDD">
        <w:rPr>
          <w:rFonts w:ascii="Arial" w:hAnsi="Arial" w:cs="Arial"/>
          <w:color w:val="auto"/>
          <w:sz w:val="20"/>
          <w:szCs w:val="20"/>
          <w:lang w:val="fr-FR"/>
        </w:rPr>
        <w:t xml:space="preserve"> Avec le débitmètre à ultrasons OPTISONIC 3400 Chauffage urbain, ils composent le portefeuille de débitmètres de KROHNE pouvant être intégrés dans un système de mesure de la chaleur. Les applications classiques comprennent la </w:t>
      </w:r>
      <w:r w:rsidRPr="00FA28DB">
        <w:rPr>
          <w:rFonts w:ascii="Arial" w:hAnsi="Arial" w:cs="Arial"/>
          <w:b/>
          <w:color w:val="auto"/>
          <w:sz w:val="20"/>
          <w:szCs w:val="20"/>
          <w:lang w:val="fr-FR"/>
        </w:rPr>
        <w:t>transaction commerciale (comptage fiscal) dans les réseaux de chauffage urbain</w:t>
      </w:r>
      <w:r w:rsidRPr="00505FDD">
        <w:rPr>
          <w:rFonts w:ascii="Arial" w:hAnsi="Arial" w:cs="Arial"/>
          <w:color w:val="auto"/>
          <w:sz w:val="20"/>
          <w:szCs w:val="20"/>
          <w:lang w:val="fr-FR"/>
        </w:rPr>
        <w:t xml:space="preserve">, les applications de </w:t>
      </w:r>
      <w:r w:rsidRPr="00FA28DB">
        <w:rPr>
          <w:rFonts w:ascii="Arial" w:hAnsi="Arial" w:cs="Arial"/>
          <w:b/>
          <w:color w:val="auto"/>
          <w:sz w:val="20"/>
          <w:szCs w:val="20"/>
          <w:lang w:val="fr-FR"/>
        </w:rPr>
        <w:t>mesure de la chaleur dans des secteurs commerciaux et industriels</w:t>
      </w:r>
      <w:r w:rsidRPr="00505FDD">
        <w:rPr>
          <w:rFonts w:ascii="Arial" w:hAnsi="Arial" w:cs="Arial"/>
          <w:color w:val="auto"/>
          <w:sz w:val="20"/>
          <w:szCs w:val="20"/>
          <w:lang w:val="fr-FR"/>
        </w:rPr>
        <w:t xml:space="preserve">, ainsi que les </w:t>
      </w:r>
      <w:r w:rsidRPr="00FA28DB">
        <w:rPr>
          <w:rFonts w:ascii="Arial" w:hAnsi="Arial" w:cs="Arial"/>
          <w:b/>
          <w:color w:val="auto"/>
          <w:sz w:val="20"/>
          <w:szCs w:val="20"/>
          <w:lang w:val="fr-FR"/>
        </w:rPr>
        <w:t>applications d'énergie générales et d'utilités dans la génération combinée de chaleur et d'électricité</w:t>
      </w:r>
      <w:r w:rsidRPr="00505FDD">
        <w:rPr>
          <w:rFonts w:ascii="Arial" w:hAnsi="Arial" w:cs="Arial"/>
          <w:color w:val="auto"/>
          <w:sz w:val="20"/>
          <w:szCs w:val="20"/>
          <w:lang w:val="fr-FR"/>
        </w:rPr>
        <w:t>.</w:t>
      </w:r>
    </w:p>
    <w:p w:rsidR="00505FDD" w:rsidRPr="00505FDD" w:rsidRDefault="00505FDD" w:rsidP="00505FDD">
      <w:pPr>
        <w:adjustRightInd w:val="0"/>
        <w:spacing w:line="288" w:lineRule="auto"/>
        <w:ind w:right="495"/>
        <w:jc w:val="both"/>
        <w:rPr>
          <w:rFonts w:ascii="Arial" w:hAnsi="Arial" w:cs="Arial"/>
          <w:color w:val="auto"/>
          <w:sz w:val="20"/>
          <w:szCs w:val="20"/>
          <w:lang w:val="fr-FR"/>
        </w:rPr>
      </w:pPr>
    </w:p>
    <w:p w:rsidR="00A55E75" w:rsidRDefault="00505FDD" w:rsidP="00505FDD">
      <w:pPr>
        <w:adjustRightInd w:val="0"/>
        <w:spacing w:line="288" w:lineRule="auto"/>
        <w:ind w:right="495"/>
        <w:jc w:val="both"/>
        <w:rPr>
          <w:rFonts w:ascii="Arial" w:hAnsi="Arial" w:cs="Arial"/>
          <w:color w:val="auto"/>
          <w:sz w:val="20"/>
          <w:szCs w:val="20"/>
          <w:lang w:val="fr-FR"/>
        </w:rPr>
      </w:pPr>
      <w:r w:rsidRPr="00505FDD">
        <w:rPr>
          <w:rFonts w:ascii="Arial" w:hAnsi="Arial" w:cs="Arial"/>
          <w:color w:val="auto"/>
          <w:sz w:val="20"/>
          <w:szCs w:val="20"/>
          <w:lang w:val="fr-FR"/>
        </w:rPr>
        <w:t>L'étalonnage MI-004 peut être réalisé par le biais du module D ou du module F. Avec le module D, l'étalonnage est assuré par KROHNE Altometer à Dordrecht (Pays-Bas) qui a été accréditée par le NMi pour réaliser les étalonnages MI-004. Avec le module F, l'étalonnage est réalisé par un organisme notifié spécialement mandaté par le client, MID-Cert en Allemagne par exemple.</w:t>
      </w:r>
    </w:p>
    <w:p w:rsidR="00505FDD" w:rsidRDefault="00505FDD" w:rsidP="00505FDD">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FA28DB" w:rsidP="00581C8F">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3pt;height:189.15pt">
            <v:imagedata r:id="rId8" o:title="Presspic_ MI004_72dpi_RGB"/>
          </v:shape>
        </w:pict>
      </w:r>
    </w:p>
    <w:p w:rsidR="00C5695D" w:rsidRDefault="00505FDD" w:rsidP="004D10BD">
      <w:pPr>
        <w:adjustRightInd w:val="0"/>
        <w:spacing w:line="288" w:lineRule="auto"/>
        <w:ind w:right="495"/>
        <w:jc w:val="both"/>
        <w:rPr>
          <w:rFonts w:ascii="Arial" w:hAnsi="Arial" w:cs="Arial"/>
          <w:color w:val="auto"/>
          <w:sz w:val="20"/>
          <w:szCs w:val="20"/>
          <w:lang w:val="fr-FR"/>
        </w:rPr>
      </w:pPr>
      <w:r w:rsidRPr="00505FDD">
        <w:rPr>
          <w:rFonts w:ascii="Arial" w:hAnsi="Arial" w:cs="Arial"/>
          <w:color w:val="auto"/>
          <w:sz w:val="20"/>
          <w:szCs w:val="20"/>
          <w:lang w:val="fr-FR"/>
        </w:rPr>
        <w:t xml:space="preserve">Les débitmètres électromagnétiques WATERFLUX et OPTIFLUX </w:t>
      </w:r>
    </w:p>
    <w:p w:rsidR="00223E92" w:rsidRDefault="00C5695D"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b</w:t>
      </w:r>
      <w:r w:rsidR="00505FDD" w:rsidRPr="00505FDD">
        <w:rPr>
          <w:rFonts w:ascii="Arial" w:hAnsi="Arial" w:cs="Arial"/>
          <w:color w:val="auto"/>
          <w:sz w:val="20"/>
          <w:szCs w:val="20"/>
          <w:lang w:val="fr-FR"/>
        </w:rPr>
        <w:t>énéficient désormais de l'homologation MI-004</w:t>
      </w:r>
      <w:bookmarkStart w:id="0" w:name="_GoBack"/>
      <w:bookmarkEnd w:id="0"/>
    </w:p>
    <w:p w:rsidR="00505FDD" w:rsidRDefault="00505FDD"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C5695D"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C5695D"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5695D">
            <w:rPr>
              <w:noProof/>
            </w:rPr>
            <w:t>2</w:t>
          </w:r>
          <w:r>
            <w:fldChar w:fldCharType="end"/>
          </w:r>
          <w:r>
            <w:rPr>
              <w:rStyle w:val="Numrodepage"/>
              <w:rFonts w:cs="Arial"/>
              <w:sz w:val="16"/>
              <w:szCs w:val="16"/>
            </w:rPr>
            <w:t>/</w:t>
          </w:r>
          <w:fldSimple w:instr=" NUMPAGES ">
            <w:r w:rsidR="00C5695D">
              <w:rPr>
                <w:noProof/>
              </w:rPr>
              <w:t>2</w:t>
            </w:r>
          </w:fldSimple>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05FDD"/>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695D"/>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28DB"/>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3236074"/>
  <w15:docId w15:val="{66FBD40B-8641-488E-BEB7-72060F51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C6092-CE78-47FF-86AD-BE9BD1AF3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2</TotalTime>
  <Pages>2</Pages>
  <Words>348</Words>
  <Characters>1916</Characters>
  <Application>Microsoft Office Word</Application>
  <DocSecurity>0</DocSecurity>
  <Lines>15</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2260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5</cp:revision>
  <cp:lastPrinted>2015-03-09T08:55:00Z</cp:lastPrinted>
  <dcterms:created xsi:type="dcterms:W3CDTF">2019-03-13T07:25:00Z</dcterms:created>
  <dcterms:modified xsi:type="dcterms:W3CDTF">2019-03-25T13:47:00Z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