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5219C7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proofErr w:type="spellStart"/>
      <w:r w:rsidRPr="005219C7">
        <w:rPr>
          <w:rFonts w:ascii="Arial" w:hAnsi="Arial" w:cs="Arial"/>
          <w:b/>
          <w:color w:val="auto"/>
          <w:sz w:val="28"/>
          <w:szCs w:val="32"/>
          <w:lang w:val="en-US"/>
        </w:rPr>
        <w:t>EcoMATE</w:t>
      </w:r>
      <w:proofErr w:type="spellEnd"/>
      <w:r w:rsidRPr="005219C7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: Nuevo </w:t>
      </w:r>
      <w:proofErr w:type="spellStart"/>
      <w:r w:rsidRPr="005219C7">
        <w:rPr>
          <w:rFonts w:ascii="Arial" w:hAnsi="Arial" w:cs="Arial"/>
          <w:b/>
          <w:color w:val="auto"/>
          <w:sz w:val="28"/>
          <w:szCs w:val="32"/>
          <w:lang w:val="en-US"/>
        </w:rPr>
        <w:t>sistema</w:t>
      </w:r>
      <w:proofErr w:type="spellEnd"/>
      <w:r w:rsidRPr="005219C7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para la </w:t>
      </w:r>
      <w:proofErr w:type="spellStart"/>
      <w:r w:rsidRPr="005219C7">
        <w:rPr>
          <w:rFonts w:ascii="Arial" w:hAnsi="Arial" w:cs="Arial"/>
          <w:b/>
          <w:color w:val="auto"/>
          <w:sz w:val="28"/>
          <w:szCs w:val="32"/>
          <w:lang w:val="en-US"/>
        </w:rPr>
        <w:t>monitorización</w:t>
      </w:r>
      <w:proofErr w:type="spellEnd"/>
      <w:r w:rsidRPr="005219C7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gramStart"/>
      <w:r w:rsidRPr="005219C7">
        <w:rPr>
          <w:rFonts w:ascii="Arial" w:hAnsi="Arial" w:cs="Arial"/>
          <w:b/>
          <w:color w:val="auto"/>
          <w:sz w:val="28"/>
          <w:szCs w:val="32"/>
          <w:lang w:val="en-US"/>
        </w:rPr>
        <w:t>del</w:t>
      </w:r>
      <w:proofErr w:type="gramEnd"/>
      <w:r w:rsidRPr="005219C7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5219C7">
        <w:rPr>
          <w:rFonts w:ascii="Arial" w:hAnsi="Arial" w:cs="Arial"/>
          <w:b/>
          <w:color w:val="auto"/>
          <w:sz w:val="28"/>
          <w:szCs w:val="32"/>
          <w:lang w:val="en-US"/>
        </w:rPr>
        <w:t>consumo</w:t>
      </w:r>
      <w:proofErr w:type="spellEnd"/>
      <w:r w:rsidRPr="005219C7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combustible y las </w:t>
      </w:r>
      <w:proofErr w:type="spellStart"/>
      <w:r w:rsidRPr="005219C7">
        <w:rPr>
          <w:rFonts w:ascii="Arial" w:hAnsi="Arial" w:cs="Arial"/>
          <w:b/>
          <w:color w:val="auto"/>
          <w:sz w:val="28"/>
          <w:szCs w:val="32"/>
          <w:lang w:val="en-US"/>
        </w:rPr>
        <w:t>emisiones</w:t>
      </w:r>
      <w:proofErr w:type="spellEnd"/>
      <w:r w:rsidRPr="005219C7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b/>
          <w:color w:val="auto"/>
          <w:sz w:val="28"/>
          <w:szCs w:val="32"/>
          <w:lang w:val="en-US"/>
        </w:rPr>
        <w:t>carbono</w:t>
      </w:r>
      <w:proofErr w:type="spellEnd"/>
      <w:r w:rsidRPr="005219C7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para </w:t>
      </w:r>
      <w:proofErr w:type="spellStart"/>
      <w:r w:rsidRPr="005219C7">
        <w:rPr>
          <w:rFonts w:ascii="Arial" w:hAnsi="Arial" w:cs="Arial"/>
          <w:b/>
          <w:color w:val="auto"/>
          <w:sz w:val="28"/>
          <w:szCs w:val="32"/>
          <w:lang w:val="en-US"/>
        </w:rPr>
        <w:t>buques</w:t>
      </w:r>
      <w:proofErr w:type="spellEnd"/>
    </w:p>
    <w:p w:rsidR="005219C7" w:rsidRPr="005219C7" w:rsidRDefault="005219C7" w:rsidP="005219C7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r w:rsidRPr="005219C7">
        <w:rPr>
          <w:rFonts w:ascii="Arial" w:hAnsi="Arial" w:cs="Arial"/>
          <w:sz w:val="20"/>
          <w:szCs w:val="20"/>
          <w:lang w:val="en-GB"/>
        </w:rPr>
        <w:t xml:space="preserve">Una sola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herramienta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software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integrada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que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permite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a la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tripulación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los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operadores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o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los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armadores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monitorizar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todos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los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tipos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buques</w:t>
      </w:r>
      <w:proofErr w:type="spellEnd"/>
    </w:p>
    <w:p w:rsidR="005219C7" w:rsidRPr="005219C7" w:rsidRDefault="005219C7" w:rsidP="005219C7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Conforme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a las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normativas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MRV de la UE y DCS de la OMI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sobre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la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monitorización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de las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emisiones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en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el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marco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del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transporte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marítimo</w:t>
      </w:r>
      <w:proofErr w:type="spellEnd"/>
    </w:p>
    <w:p w:rsidR="005219C7" w:rsidRPr="00A04FC6" w:rsidRDefault="005219C7" w:rsidP="005219C7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Cálculo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automático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y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generación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informes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sobre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emisiones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y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datos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eficiencia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para el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uso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a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bordo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y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en</w:t>
      </w:r>
      <w:proofErr w:type="spellEnd"/>
      <w:r w:rsidRPr="005219C7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5219C7">
        <w:rPr>
          <w:rFonts w:ascii="Arial" w:hAnsi="Arial" w:cs="Arial"/>
          <w:sz w:val="20"/>
          <w:szCs w:val="20"/>
          <w:lang w:val="en-GB"/>
        </w:rPr>
        <w:t>tierra</w:t>
      </w:r>
      <w:proofErr w:type="spellEnd"/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5219C7" w:rsidRPr="005219C7" w:rsidRDefault="00B00804" w:rsidP="005219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9A6F4A">
        <w:rPr>
          <w:rFonts w:ascii="Arial" w:hAnsi="Arial" w:cs="Arial"/>
          <w:color w:val="auto"/>
          <w:sz w:val="20"/>
          <w:szCs w:val="20"/>
          <w:lang w:val="en-US"/>
        </w:rPr>
        <w:t>30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4474B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014BF0">
        <w:rPr>
          <w:rFonts w:ascii="Arial" w:hAnsi="Arial" w:cs="Arial"/>
          <w:color w:val="auto"/>
          <w:sz w:val="20"/>
          <w:szCs w:val="20"/>
          <w:lang w:val="en-US"/>
        </w:rPr>
        <w:t>enero</w:t>
      </w:r>
      <w:proofErr w:type="spellEnd"/>
      <w:r w:rsid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014BF0">
        <w:rPr>
          <w:rFonts w:ascii="Arial" w:hAnsi="Arial" w:cs="Arial"/>
          <w:color w:val="auto"/>
          <w:sz w:val="20"/>
          <w:szCs w:val="20"/>
          <w:lang w:val="en-US"/>
        </w:rPr>
        <w:t>9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KROHNE Marine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presenta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nueva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versión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EcoMATE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: el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software para la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consumo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combustible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ahora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incluye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generación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informes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sobre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emisiones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carbono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buques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tripulación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operadores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armadores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monitorizar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tipos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buques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sola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herramienta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software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integrada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proporciona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cálculo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automático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generación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informes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sobre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emisiones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datos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eficiencia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5219C7" w:rsidRPr="005219C7" w:rsidRDefault="005219C7" w:rsidP="005219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219C7" w:rsidRPr="005219C7" w:rsidRDefault="005219C7" w:rsidP="005219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EcoMATE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cumple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con el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reglamento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2015/757 de la Unión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Europea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sobre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notificación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verificación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las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emisiones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dióxido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carbono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transporte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marítimo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(MRV UE), y con el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registro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datos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Organización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Marítima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Internacional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(DCS OMI), dos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reglamentos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apuntan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reducir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emisiones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gases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efecto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invernadero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causadas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buques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219C7" w:rsidRPr="005219C7" w:rsidRDefault="005219C7" w:rsidP="005219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219C7" w:rsidRPr="005219C7" w:rsidRDefault="005219C7" w:rsidP="005219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EcoMATE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consiste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cuatro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módulos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: Fuel Consumption para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consumo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combustible, Bunkering Verification para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verificación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suministro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combustible, EU MRV &amp; IMO DCS para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generación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informes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sobre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emisiones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y un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Cloud. El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Fuel Consumption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continua </w:t>
      </w:r>
      <w:proofErr w:type="gram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consumo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cualquier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tipo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combustible 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bordo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. Los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valores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lectura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másicos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Coriolis)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instalados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líneas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alimentación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retorno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motores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consolidan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visualizan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guardan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sala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control para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monitorizar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consumo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actual y total de combustible,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validar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eficiencia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219C7" w:rsidRPr="005219C7" w:rsidRDefault="005219C7" w:rsidP="005219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219C7" w:rsidRPr="005219C7" w:rsidRDefault="005219C7" w:rsidP="005219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dedicado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a Bunkering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verificación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registro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las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cantidades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combustible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recibidas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través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gram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la</w:t>
      </w:r>
      <w:proofErr w:type="gram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línea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suministro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EcoMATE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muestra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valores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un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caudalímetro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línea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forma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gráficos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tendencia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durante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proceso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suministro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ej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el</w:t>
      </w:r>
      <w:proofErr w:type="gram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caudal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o el caudal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volumétrico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compensado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),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densidad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. Los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datos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relevantes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registran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guardan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informes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con las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cantidades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totales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tipos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combustible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recibidas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incluyendo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verificación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densidad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)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imprimirse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enviarse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formato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digital 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estación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tierra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219C7" w:rsidRPr="005219C7" w:rsidRDefault="005219C7" w:rsidP="005219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219C7" w:rsidRPr="005219C7" w:rsidRDefault="005219C7" w:rsidP="005219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EcoMATE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EU MRV &amp; IMO DCS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ayuda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tripulación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operadores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armadores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generar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informes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sobre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emisiones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conformes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gram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estos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reglamentos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proofErr w:type="gram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Además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incorpora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serie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funciones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que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simplifican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funcionamiento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diario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establecen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requisitos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notificación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viaje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buque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5219C7" w:rsidRPr="005219C7" w:rsidRDefault="005219C7" w:rsidP="005219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5219C7" w:rsidRPr="005219C7" w:rsidRDefault="005219C7" w:rsidP="005219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EcoMATE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Cloud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centraliza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visualización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línea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buques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equipados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con el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EcoMATE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datos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otros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tres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módulos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transmiten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automáticamente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nube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donde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verse,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descargarse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analizarse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mediante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panel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accesible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desde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cualquier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lastRenderedPageBreak/>
        <w:t>navegador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web.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verse las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tendencias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consumo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combustible o de las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emisiones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relación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,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velocidad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y/o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kilovatios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buque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Los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buques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compararse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relación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misma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travesía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realizada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anteriormente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datos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medidos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cada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buque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y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cada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consumidor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combustible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analizarse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fácilmente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5219C7" w:rsidRPr="005219C7" w:rsidRDefault="005219C7" w:rsidP="005219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A04FC6" w:rsidRDefault="005219C7" w:rsidP="005219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Para que el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EcoMATE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adapte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diferentes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tipos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buque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, KROHNE Marine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ofrece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capacidad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completa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suministro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incluyendo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estaciones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trabajo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caudalímetros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válvulas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equipo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servicios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soporte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según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requisitos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5219C7">
        <w:rPr>
          <w:rFonts w:ascii="Arial" w:hAnsi="Arial" w:cs="Arial"/>
          <w:color w:val="auto"/>
          <w:sz w:val="20"/>
          <w:szCs w:val="20"/>
          <w:lang w:val="en-US"/>
        </w:rPr>
        <w:t>instalación</w:t>
      </w:r>
      <w:proofErr w:type="spellEnd"/>
      <w:r w:rsidRPr="005219C7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5219C7" w:rsidRPr="00A04FC6" w:rsidRDefault="005219C7" w:rsidP="005219C7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B4591F" w:rsidRDefault="00A04FC6" w:rsidP="00A04FC6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Acerca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KROHNE: KROHNE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servicios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medición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analítica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1921 y con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gram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la</w:t>
      </w:r>
      <w:proofErr w:type="gram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cuenta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3.700 personas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. KROHNE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sinónimo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medición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A04FC6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Pr="00A04FC6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A04FC6" w:rsidRDefault="00A04FC6" w:rsidP="00A04FC6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3C191C" w:rsidRDefault="003C191C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Imagen </w:t>
      </w:r>
      <w:r>
        <w:rPr>
          <w:rFonts w:ascii="Arial" w:hAnsi="Arial" w:cs="Arial"/>
          <w:b/>
          <w:color w:val="auto"/>
          <w:sz w:val="20"/>
          <w:szCs w:val="20"/>
          <w:lang w:val="en-US"/>
        </w:rPr>
        <w:t>1</w:t>
      </w: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</w:p>
    <w:p w:rsidR="003C191C" w:rsidRPr="00373D44" w:rsidRDefault="00436E26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>
            <wp:extent cx="3829050" cy="2724150"/>
            <wp:effectExtent l="0" t="0" r="0" b="0"/>
            <wp:docPr id="3" name="Grafik 3" descr="EcoMATE_Press_20cm_72dpi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coMATE_Press_20cm_72dpi_RG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53E2C" w:rsidRPr="005219C7" w:rsidRDefault="003C191C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  <w:r w:rsidRPr="005219C7">
        <w:rPr>
          <w:rFonts w:ascii="Arial" w:hAnsi="Arial" w:cs="Arial"/>
          <w:b/>
          <w:color w:val="auto"/>
          <w:sz w:val="20"/>
          <w:szCs w:val="20"/>
          <w:lang w:val="en-GB"/>
        </w:rPr>
        <w:t xml:space="preserve">Pie de </w:t>
      </w:r>
      <w:proofErr w:type="spellStart"/>
      <w:r w:rsidRPr="005219C7">
        <w:rPr>
          <w:rFonts w:ascii="Arial" w:hAnsi="Arial" w:cs="Arial"/>
          <w:b/>
          <w:color w:val="auto"/>
          <w:sz w:val="20"/>
          <w:szCs w:val="20"/>
          <w:lang w:val="en-GB"/>
        </w:rPr>
        <w:t>foto</w:t>
      </w:r>
      <w:proofErr w:type="spellEnd"/>
      <w:r w:rsidRPr="005219C7">
        <w:rPr>
          <w:rFonts w:ascii="Arial" w:hAnsi="Arial" w:cs="Arial"/>
          <w:b/>
          <w:color w:val="auto"/>
          <w:sz w:val="20"/>
          <w:szCs w:val="20"/>
          <w:lang w:val="en-GB"/>
        </w:rPr>
        <w:t>:</w:t>
      </w:r>
      <w:r w:rsidRPr="005219C7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GB"/>
        </w:rPr>
        <w:t>EcoMATE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GB"/>
        </w:rPr>
        <w:t xml:space="preserve">: Nuevo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GB"/>
        </w:rPr>
        <w:t>sistema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GB"/>
        </w:rPr>
        <w:t xml:space="preserve"> para la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GB"/>
        </w:rPr>
        <w:t>monitorización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gramStart"/>
      <w:r w:rsidR="005219C7" w:rsidRPr="005219C7">
        <w:rPr>
          <w:rFonts w:ascii="Arial" w:hAnsi="Arial" w:cs="Arial"/>
          <w:color w:val="auto"/>
          <w:sz w:val="20"/>
          <w:szCs w:val="20"/>
          <w:lang w:val="en-GB"/>
        </w:rPr>
        <w:t>del</w:t>
      </w:r>
      <w:proofErr w:type="gramEnd"/>
      <w:r w:rsidR="005219C7" w:rsidRPr="005219C7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GB"/>
        </w:rPr>
        <w:t>consumo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GB"/>
        </w:rPr>
        <w:t xml:space="preserve"> de combustible y las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GB"/>
        </w:rPr>
        <w:t>emisiones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GB"/>
        </w:rPr>
        <w:t xml:space="preserve"> de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GB"/>
        </w:rPr>
        <w:t>carbono</w:t>
      </w:r>
      <w:proofErr w:type="spellEnd"/>
      <w:r w:rsidR="005219C7" w:rsidRPr="005219C7">
        <w:rPr>
          <w:rFonts w:ascii="Arial" w:hAnsi="Arial" w:cs="Arial"/>
          <w:color w:val="auto"/>
          <w:sz w:val="20"/>
          <w:szCs w:val="20"/>
          <w:lang w:val="en-GB"/>
        </w:rPr>
        <w:t xml:space="preserve"> para </w:t>
      </w:r>
      <w:proofErr w:type="spellStart"/>
      <w:r w:rsidR="005219C7" w:rsidRPr="005219C7">
        <w:rPr>
          <w:rFonts w:ascii="Arial" w:hAnsi="Arial" w:cs="Arial"/>
          <w:color w:val="auto"/>
          <w:sz w:val="20"/>
          <w:szCs w:val="20"/>
          <w:lang w:val="en-GB"/>
        </w:rPr>
        <w:t>buques</w:t>
      </w:r>
      <w:proofErr w:type="spellEnd"/>
    </w:p>
    <w:p w:rsidR="00DE2A27" w:rsidRPr="005219C7" w:rsidRDefault="00DE2A27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:rsidR="00384328" w:rsidRPr="00527772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527772">
        <w:rPr>
          <w:rFonts w:ascii="Arial" w:hAnsi="Arial" w:cs="Arial"/>
          <w:sz w:val="20"/>
          <w:szCs w:val="20"/>
        </w:rPr>
        <w:t>Publicado</w:t>
      </w:r>
      <w:proofErr w:type="spellEnd"/>
      <w:r w:rsidRPr="0052777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772">
        <w:rPr>
          <w:rFonts w:ascii="Arial" w:hAnsi="Arial" w:cs="Arial"/>
          <w:sz w:val="20"/>
          <w:szCs w:val="20"/>
        </w:rPr>
        <w:t>por</w:t>
      </w:r>
      <w:proofErr w:type="spellEnd"/>
      <w:r w:rsidRPr="00527772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436E26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436E26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436E26">
            <w:rPr>
              <w:noProof/>
            </w:rPr>
            <w:t>2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r w:rsidR="00436E26">
            <w:fldChar w:fldCharType="begin"/>
          </w:r>
          <w:r w:rsidR="00436E26">
            <w:instrText xml:space="preserve"> NUMPAGES </w:instrText>
          </w:r>
          <w:r w:rsidR="00436E26">
            <w:fldChar w:fldCharType="separate"/>
          </w:r>
          <w:r w:rsidR="00436E26">
            <w:rPr>
              <w:noProof/>
            </w:rPr>
            <w:t>2</w:t>
          </w:r>
          <w:r w:rsidR="00436E26">
            <w:rPr>
              <w:noProof/>
            </w:rPr>
            <w:fldChar w:fldCharType="end"/>
          </w:r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F5EA6"/>
    <w:multiLevelType w:val="hybridMultilevel"/>
    <w:tmpl w:val="A3C69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2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4BF0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0757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656E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942C4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1B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510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0382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5186"/>
    <w:rsid w:val="003B7D1D"/>
    <w:rsid w:val="003B7DB0"/>
    <w:rsid w:val="003C191C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E4CD9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36E26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19C7"/>
    <w:rsid w:val="00526FD1"/>
    <w:rsid w:val="00527772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5ADF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BD"/>
    <w:rsid w:val="006D1196"/>
    <w:rsid w:val="006E18BE"/>
    <w:rsid w:val="006E4B27"/>
    <w:rsid w:val="006E56AB"/>
    <w:rsid w:val="006E6E4C"/>
    <w:rsid w:val="006E7509"/>
    <w:rsid w:val="006F10D2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3E2C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1A7C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279C"/>
    <w:rsid w:val="00877300"/>
    <w:rsid w:val="008807A0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B5EEA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6F4A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4FC6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A40"/>
    <w:rsid w:val="00C711D5"/>
    <w:rsid w:val="00C7542D"/>
    <w:rsid w:val="00C75F8A"/>
    <w:rsid w:val="00C807CB"/>
    <w:rsid w:val="00C8178A"/>
    <w:rsid w:val="00C81C4F"/>
    <w:rsid w:val="00C82E86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2A2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1E37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7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88957-8478-40B1-B50B-2741B8889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731</Words>
  <Characters>4122</Characters>
  <Application>Microsoft Office Word</Application>
  <DocSecurity>0</DocSecurity>
  <Lines>34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4844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5</cp:revision>
  <cp:lastPrinted>2012-06-14T17:54:00Z</cp:lastPrinted>
  <dcterms:created xsi:type="dcterms:W3CDTF">2019-01-25T09:10:00Z</dcterms:created>
  <dcterms:modified xsi:type="dcterms:W3CDTF">2019-01-29T07:35:00Z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