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FA02D8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FA02D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OPTIMASS </w:t>
      </w:r>
      <w:proofErr w:type="spellStart"/>
      <w:r w:rsidRPr="00FA02D8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FA02D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A02D8">
        <w:rPr>
          <w:rFonts w:ascii="Arial" w:hAnsi="Arial" w:cs="Arial"/>
          <w:b/>
          <w:color w:val="auto"/>
          <w:sz w:val="28"/>
          <w:szCs w:val="32"/>
          <w:lang w:val="en-US"/>
        </w:rPr>
        <w:t>disponible</w:t>
      </w:r>
      <w:proofErr w:type="spellEnd"/>
      <w:r w:rsidRPr="00FA02D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PROFINET I/O</w:t>
      </w:r>
    </w:p>
    <w:p w:rsidR="00FA02D8" w:rsidRPr="00FA02D8" w:rsidRDefault="00FA02D8" w:rsidP="00FA02D8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FA02D8">
        <w:rPr>
          <w:rFonts w:ascii="Arial" w:hAnsi="Arial" w:cs="Arial"/>
          <w:sz w:val="20"/>
          <w:szCs w:val="20"/>
          <w:lang w:val="en-US"/>
        </w:rPr>
        <w:t xml:space="preserve">Ethernet Industrial para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todos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caudalímetros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másicos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Coriolis OPTIMASS con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convertidor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señal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MFC 400</w:t>
      </w:r>
    </w:p>
    <w:p w:rsidR="00FA02D8" w:rsidRPr="00FA02D8" w:rsidRDefault="00FA02D8" w:rsidP="00FA02D8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FA02D8">
        <w:rPr>
          <w:rFonts w:ascii="Arial" w:hAnsi="Arial" w:cs="Arial"/>
          <w:sz w:val="20"/>
          <w:szCs w:val="20"/>
          <w:lang w:val="en-US"/>
        </w:rPr>
        <w:t xml:space="preserve">Toda la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información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sobre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proceso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diagnóstico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disponible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tiempo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real a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través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de un solo canal de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comunicación</w:t>
      </w:r>
      <w:proofErr w:type="spellEnd"/>
    </w:p>
    <w:p w:rsidR="00FA02D8" w:rsidRPr="00466B7A" w:rsidRDefault="00FA02D8" w:rsidP="00FA02D8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FA02D8">
        <w:rPr>
          <w:rFonts w:ascii="Arial" w:hAnsi="Arial" w:cs="Arial"/>
          <w:sz w:val="20"/>
          <w:szCs w:val="20"/>
          <w:lang w:val="en-US"/>
        </w:rPr>
        <w:t xml:space="preserve">Uno o dos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conectores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conmutador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Ethernet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gestionado</w:t>
      </w:r>
      <w:proofErr w:type="spellEnd"/>
      <w:r w:rsidRPr="00FA02D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sz w:val="20"/>
          <w:szCs w:val="20"/>
          <w:lang w:val="en-US"/>
        </w:rPr>
        <w:t>integrado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FA02D8" w:rsidRDefault="00B00804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1767CC">
        <w:rPr>
          <w:rFonts w:ascii="Arial" w:hAnsi="Arial" w:cs="Arial"/>
          <w:color w:val="auto"/>
          <w:sz w:val="20"/>
          <w:szCs w:val="20"/>
          <w:lang w:val="en-US"/>
        </w:rPr>
        <w:t>25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045812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45812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MFC 400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PROFINET I/O.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Coriolis OPTIMASS x400 (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compacta y de campo)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estar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provistos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Ethernet Industrial que se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HART 7, FOUNDATION Fieldbus, PROFIBUS PA y DP y Modbus.</w:t>
      </w:r>
    </w:p>
    <w:p w:rsidR="00FA02D8" w:rsidRPr="00FA02D8" w:rsidRDefault="00FA02D8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A02D8" w:rsidRDefault="00FA02D8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Con PROFINET I/O,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toda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información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real 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un solo canal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permitiendo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cómoda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: el MFC 400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compatible con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red come auto-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negociación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>, auto-crossover, auto-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polaridad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red. </w:t>
      </w:r>
      <w:proofErr w:type="spellStart"/>
      <w:proofErr w:type="gram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se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automáticamente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topología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conectarse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la red.</w:t>
      </w:r>
      <w:proofErr w:type="gram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compatible con el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protocolo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redundancia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medios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fallo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de  la</w:t>
      </w:r>
      <w:proofErr w:type="gram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o del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el MFC 400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pasa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inmediatamente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cuando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instalado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topologías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red compatibles. No se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necesita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servidor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web, las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del caudal cero o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cero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totalizadores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llevarse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cabo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</w:p>
    <w:p w:rsidR="00FA02D8" w:rsidRPr="00FA02D8" w:rsidRDefault="00FA02D8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6B7A" w:rsidRDefault="00FA02D8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Uno o dos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conectores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M12 (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codificados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D)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permiten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topología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transferencia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hasta 100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MBps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requiere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conmutador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externo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provisto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conmutador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Ethernet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gestionado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adicionales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norma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NE 107 NAMUR para la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estados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errores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el MFC 400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autocomprobación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circuitos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internos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facilita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información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del sensor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actuales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proofErr w:type="gram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bifásico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A02D8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FA02D8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 </w:t>
      </w:r>
    </w:p>
    <w:p w:rsidR="00FA02D8" w:rsidRPr="0058253C" w:rsidRDefault="00FA02D8" w:rsidP="00FA02D8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FA02D8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noProof/>
          <w:szCs w:val="20"/>
        </w:rPr>
        <w:lastRenderedPageBreak/>
        <w:drawing>
          <wp:inline distT="0" distB="0" distL="0" distR="0">
            <wp:extent cx="4462145" cy="2963545"/>
            <wp:effectExtent l="0" t="0" r="0" b="8255"/>
            <wp:docPr id="3" name="Grafik 3" descr="OPTIMASS_series_PROFINET_15x10_72dp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TIMASS_series_PROFINET_15x10_72dpi_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145" cy="296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PROFINET I/O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OPTIMASS con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FA02D8" w:rsidRPr="00FA02D8">
        <w:rPr>
          <w:rFonts w:ascii="Arial" w:hAnsi="Arial" w:cs="Arial"/>
          <w:color w:val="auto"/>
          <w:sz w:val="20"/>
          <w:szCs w:val="20"/>
          <w:lang w:val="en-US"/>
        </w:rPr>
        <w:t xml:space="preserve"> MFC 400</w:t>
      </w: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1767CC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1767CC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767CC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1767CC">
            <w:fldChar w:fldCharType="begin"/>
          </w:r>
          <w:r w:rsidR="001767CC">
            <w:instrText xml:space="preserve"> NUMPAGES </w:instrText>
          </w:r>
          <w:r w:rsidR="001767CC">
            <w:fldChar w:fldCharType="separate"/>
          </w:r>
          <w:r w:rsidR="001767CC">
            <w:rPr>
              <w:noProof/>
            </w:rPr>
            <w:t>2</w:t>
          </w:r>
          <w:r w:rsidR="001767CC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5812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67CC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2D8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E200-E238-4389-90E6-6CAC2732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468</Words>
  <Characters>2696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3158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10</cp:revision>
  <cp:lastPrinted>2012-06-14T17:54:00Z</cp:lastPrinted>
  <dcterms:created xsi:type="dcterms:W3CDTF">2017-09-04T13:06:00Z</dcterms:created>
  <dcterms:modified xsi:type="dcterms:W3CDTF">2018-01-18T06:35:00Z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