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34C" w:rsidRDefault="00535D52" w:rsidP="0032434C">
      <w:pPr>
        <w:adjustRightInd w:val="0"/>
        <w:spacing w:line="288" w:lineRule="auto"/>
        <w:ind w:right="495"/>
        <w:jc w:val="both"/>
        <w:rPr>
          <w:rFonts w:ascii="Arial" w:hAnsi="Arial" w:cs="Arial"/>
          <w:b/>
          <w:color w:val="auto"/>
          <w:sz w:val="28"/>
          <w:szCs w:val="32"/>
          <w:lang w:val="fr-FR"/>
        </w:rPr>
      </w:pPr>
      <w:r w:rsidRPr="00535D52">
        <w:rPr>
          <w:rFonts w:ascii="Arial" w:hAnsi="Arial" w:cs="Arial"/>
          <w:b/>
          <w:color w:val="auto"/>
          <w:sz w:val="28"/>
          <w:szCs w:val="32"/>
          <w:lang w:val="fr-FR"/>
        </w:rPr>
        <w:t>Option PROFINET I/O pour débitmètres électromagnétiques</w:t>
      </w:r>
    </w:p>
    <w:p w:rsidR="002D1DC1" w:rsidRPr="002D1DC1" w:rsidRDefault="002D1DC1" w:rsidP="0032434C">
      <w:pPr>
        <w:adjustRightInd w:val="0"/>
        <w:spacing w:line="288" w:lineRule="auto"/>
        <w:ind w:right="495"/>
        <w:jc w:val="both"/>
        <w:rPr>
          <w:rFonts w:ascii="Arial" w:hAnsi="Arial" w:cs="Arial"/>
          <w:b/>
          <w:color w:val="auto"/>
          <w:sz w:val="20"/>
          <w:szCs w:val="20"/>
          <w:lang w:val="fr-FR"/>
        </w:rPr>
      </w:pPr>
    </w:p>
    <w:p w:rsidR="00535D52" w:rsidRPr="00535D52" w:rsidRDefault="00535D52" w:rsidP="00535D52">
      <w:pPr>
        <w:pStyle w:val="Listenabsatz"/>
        <w:numPr>
          <w:ilvl w:val="0"/>
          <w:numId w:val="21"/>
        </w:numPr>
        <w:adjustRightInd w:val="0"/>
        <w:spacing w:line="288" w:lineRule="auto"/>
        <w:ind w:right="495"/>
        <w:jc w:val="both"/>
        <w:rPr>
          <w:rFonts w:ascii="Arial" w:hAnsi="Arial" w:cs="Arial"/>
          <w:color w:val="auto"/>
          <w:sz w:val="20"/>
          <w:szCs w:val="20"/>
          <w:lang w:val="fr-FR"/>
        </w:rPr>
      </w:pPr>
      <w:r w:rsidRPr="00535D52">
        <w:rPr>
          <w:rFonts w:ascii="Arial" w:hAnsi="Arial" w:cs="Arial"/>
          <w:color w:val="auto"/>
          <w:sz w:val="20"/>
          <w:szCs w:val="20"/>
          <w:lang w:val="fr-FR"/>
        </w:rPr>
        <w:t>Communication via Ethernet industriel pour débitmètres OPTIFLUX, WATERFLUX et TIDALFLUX</w:t>
      </w:r>
    </w:p>
    <w:p w:rsidR="00535D52" w:rsidRPr="00535D52" w:rsidRDefault="00535D52" w:rsidP="00535D52">
      <w:pPr>
        <w:pStyle w:val="Listenabsatz"/>
        <w:numPr>
          <w:ilvl w:val="0"/>
          <w:numId w:val="21"/>
        </w:numPr>
        <w:adjustRightInd w:val="0"/>
        <w:spacing w:line="288" w:lineRule="auto"/>
        <w:ind w:right="495"/>
        <w:jc w:val="both"/>
        <w:rPr>
          <w:rFonts w:ascii="Arial" w:hAnsi="Arial" w:cs="Arial"/>
          <w:color w:val="auto"/>
          <w:sz w:val="20"/>
          <w:szCs w:val="20"/>
          <w:lang w:val="fr-FR"/>
        </w:rPr>
      </w:pPr>
      <w:r w:rsidRPr="00535D52">
        <w:rPr>
          <w:rFonts w:ascii="Arial" w:hAnsi="Arial" w:cs="Arial"/>
          <w:color w:val="auto"/>
          <w:sz w:val="20"/>
          <w:szCs w:val="20"/>
          <w:lang w:val="fr-FR"/>
        </w:rPr>
        <w:t xml:space="preserve">Informations de mesure, de </w:t>
      </w:r>
      <w:proofErr w:type="spellStart"/>
      <w:r w:rsidRPr="00535D52">
        <w:rPr>
          <w:rFonts w:ascii="Arial" w:hAnsi="Arial" w:cs="Arial"/>
          <w:color w:val="auto"/>
          <w:sz w:val="20"/>
          <w:szCs w:val="20"/>
          <w:lang w:val="fr-FR"/>
        </w:rPr>
        <w:t>process</w:t>
      </w:r>
      <w:proofErr w:type="spellEnd"/>
      <w:r w:rsidRPr="00535D52">
        <w:rPr>
          <w:rFonts w:ascii="Arial" w:hAnsi="Arial" w:cs="Arial"/>
          <w:color w:val="auto"/>
          <w:sz w:val="20"/>
          <w:szCs w:val="20"/>
          <w:lang w:val="fr-FR"/>
        </w:rPr>
        <w:t xml:space="preserve"> et de diagnostic via un unique canal de communication </w:t>
      </w:r>
    </w:p>
    <w:p w:rsidR="00535D52" w:rsidRPr="00535D52" w:rsidRDefault="00535D52" w:rsidP="00535D52">
      <w:pPr>
        <w:pStyle w:val="Listenabsatz"/>
        <w:numPr>
          <w:ilvl w:val="0"/>
          <w:numId w:val="21"/>
        </w:numPr>
        <w:adjustRightInd w:val="0"/>
        <w:spacing w:line="288" w:lineRule="auto"/>
        <w:ind w:right="495"/>
        <w:jc w:val="both"/>
        <w:rPr>
          <w:rFonts w:ascii="Arial" w:hAnsi="Arial" w:cs="Arial"/>
          <w:color w:val="auto"/>
          <w:sz w:val="20"/>
          <w:szCs w:val="20"/>
          <w:lang w:val="fr-FR"/>
        </w:rPr>
      </w:pPr>
      <w:r w:rsidRPr="00535D52">
        <w:rPr>
          <w:rFonts w:ascii="Arial" w:hAnsi="Arial" w:cs="Arial"/>
          <w:color w:val="auto"/>
          <w:sz w:val="20"/>
          <w:szCs w:val="20"/>
          <w:lang w:val="fr-FR"/>
        </w:rPr>
        <w:t>Intégration directe, réduction des coûts de câblage et de raccordement du matériel</w:t>
      </w:r>
    </w:p>
    <w:p w:rsidR="0008241B" w:rsidRPr="0008241B" w:rsidRDefault="00535D52" w:rsidP="00535D52">
      <w:pPr>
        <w:pStyle w:val="Listenabsatz"/>
        <w:numPr>
          <w:ilvl w:val="0"/>
          <w:numId w:val="21"/>
        </w:numPr>
        <w:adjustRightInd w:val="0"/>
        <w:spacing w:line="288" w:lineRule="auto"/>
        <w:ind w:right="495"/>
        <w:jc w:val="both"/>
        <w:rPr>
          <w:rFonts w:ascii="Arial" w:hAnsi="Arial" w:cs="Arial"/>
          <w:color w:val="auto"/>
          <w:sz w:val="20"/>
          <w:szCs w:val="20"/>
          <w:lang w:val="fr-FR"/>
        </w:rPr>
      </w:pPr>
      <w:r w:rsidRPr="00535D52">
        <w:rPr>
          <w:rFonts w:ascii="Arial" w:hAnsi="Arial" w:cs="Arial"/>
          <w:color w:val="auto"/>
          <w:sz w:val="20"/>
          <w:szCs w:val="20"/>
          <w:lang w:val="fr-FR"/>
        </w:rPr>
        <w:t>Livre blanc gratuit « Ethernet-</w:t>
      </w:r>
      <w:proofErr w:type="spellStart"/>
      <w:r w:rsidRPr="00535D52">
        <w:rPr>
          <w:rFonts w:ascii="Arial" w:hAnsi="Arial" w:cs="Arial"/>
          <w:color w:val="auto"/>
          <w:sz w:val="20"/>
          <w:szCs w:val="20"/>
          <w:lang w:val="fr-FR"/>
        </w:rPr>
        <w:t>Based</w:t>
      </w:r>
      <w:proofErr w:type="spellEnd"/>
      <w:r w:rsidRPr="00535D52">
        <w:rPr>
          <w:rFonts w:ascii="Arial" w:hAnsi="Arial" w:cs="Arial"/>
          <w:color w:val="auto"/>
          <w:sz w:val="20"/>
          <w:szCs w:val="20"/>
          <w:lang w:val="fr-FR"/>
        </w:rPr>
        <w:t xml:space="preserve"> PROFINET </w:t>
      </w:r>
      <w:proofErr w:type="spellStart"/>
      <w:r w:rsidRPr="00535D52">
        <w:rPr>
          <w:rFonts w:ascii="Arial" w:hAnsi="Arial" w:cs="Arial"/>
          <w:color w:val="auto"/>
          <w:sz w:val="20"/>
          <w:szCs w:val="20"/>
          <w:lang w:val="fr-FR"/>
        </w:rPr>
        <w:t>Integration</w:t>
      </w:r>
      <w:proofErr w:type="spellEnd"/>
      <w:r w:rsidRPr="00535D52">
        <w:rPr>
          <w:rFonts w:ascii="Arial" w:hAnsi="Arial" w:cs="Arial"/>
          <w:color w:val="auto"/>
          <w:sz w:val="20"/>
          <w:szCs w:val="20"/>
          <w:lang w:val="fr-FR"/>
        </w:rPr>
        <w:t xml:space="preserve"> of Field Instruments in the Water and </w:t>
      </w:r>
      <w:proofErr w:type="spellStart"/>
      <w:r w:rsidRPr="00535D52">
        <w:rPr>
          <w:rFonts w:ascii="Arial" w:hAnsi="Arial" w:cs="Arial"/>
          <w:color w:val="auto"/>
          <w:sz w:val="20"/>
          <w:szCs w:val="20"/>
          <w:lang w:val="fr-FR"/>
        </w:rPr>
        <w:t>Waste</w:t>
      </w:r>
      <w:proofErr w:type="spellEnd"/>
      <w:r w:rsidRPr="00535D52">
        <w:rPr>
          <w:rFonts w:ascii="Arial" w:hAnsi="Arial" w:cs="Arial"/>
          <w:color w:val="auto"/>
          <w:sz w:val="20"/>
          <w:szCs w:val="20"/>
          <w:lang w:val="fr-FR"/>
        </w:rPr>
        <w:t xml:space="preserve"> Water Industry » (Intégration via PROFINET à base d'Ethernet d'appareils de terrain dans l'industrie de l'eau et des eaux usées)</w:t>
      </w:r>
    </w:p>
    <w:p w:rsidR="002D1DC1" w:rsidRPr="002D1DC1" w:rsidRDefault="002D1DC1" w:rsidP="002D1DC1">
      <w:pPr>
        <w:adjustRightInd w:val="0"/>
        <w:spacing w:line="288" w:lineRule="auto"/>
        <w:ind w:left="360" w:right="495"/>
        <w:jc w:val="both"/>
        <w:rPr>
          <w:rFonts w:ascii="Arial" w:hAnsi="Arial" w:cs="Arial"/>
          <w:color w:val="auto"/>
          <w:sz w:val="20"/>
          <w:szCs w:val="20"/>
          <w:lang w:val="fr-FR"/>
        </w:rPr>
      </w:pPr>
    </w:p>
    <w:p w:rsidR="00535D52" w:rsidRDefault="00535D52" w:rsidP="00535D52">
      <w:pPr>
        <w:adjustRightInd w:val="0"/>
        <w:spacing w:line="288" w:lineRule="auto"/>
        <w:ind w:right="495"/>
        <w:jc w:val="both"/>
        <w:rPr>
          <w:rFonts w:ascii="Arial" w:hAnsi="Arial" w:cs="Arial"/>
          <w:color w:val="auto"/>
          <w:sz w:val="20"/>
          <w:szCs w:val="20"/>
          <w:lang w:val="fr-FR"/>
        </w:rPr>
      </w:pPr>
      <w:r w:rsidRPr="00535D52">
        <w:rPr>
          <w:rFonts w:ascii="Arial" w:hAnsi="Arial" w:cs="Arial"/>
          <w:color w:val="auto"/>
          <w:sz w:val="20"/>
          <w:szCs w:val="20"/>
          <w:lang w:val="fr-FR"/>
        </w:rPr>
        <w:t>En tant que nouvelle option de communication via Ethernet industriel, PROFINET I/O est désormais disponible pour les débitmètres électromagnétiques avec convertisseur de mesure IFC 300. Ceci inclut tous les modèles compacts et déportés des séries OPTIFLUX x300 (hormis OPTIFLUX 7000), WATERFLUX 3300 et TIDALFLUX 2300.</w:t>
      </w:r>
    </w:p>
    <w:p w:rsidR="00535D52" w:rsidRPr="00535D52" w:rsidRDefault="00535D52" w:rsidP="00535D52">
      <w:pPr>
        <w:adjustRightInd w:val="0"/>
        <w:spacing w:line="288" w:lineRule="auto"/>
        <w:ind w:right="495"/>
        <w:jc w:val="both"/>
        <w:rPr>
          <w:rFonts w:ascii="Arial" w:hAnsi="Arial" w:cs="Arial"/>
          <w:color w:val="auto"/>
          <w:sz w:val="20"/>
          <w:szCs w:val="20"/>
          <w:lang w:val="fr-FR"/>
        </w:rPr>
      </w:pPr>
    </w:p>
    <w:p w:rsidR="00535D52" w:rsidRDefault="00535D52" w:rsidP="00535D52">
      <w:pPr>
        <w:adjustRightInd w:val="0"/>
        <w:spacing w:line="288" w:lineRule="auto"/>
        <w:ind w:right="495"/>
        <w:jc w:val="both"/>
        <w:rPr>
          <w:rFonts w:ascii="Arial" w:hAnsi="Arial" w:cs="Arial"/>
          <w:color w:val="auto"/>
          <w:sz w:val="20"/>
          <w:szCs w:val="20"/>
          <w:lang w:val="fr-FR"/>
        </w:rPr>
      </w:pPr>
      <w:r w:rsidRPr="00535D52">
        <w:rPr>
          <w:rFonts w:ascii="Arial" w:hAnsi="Arial" w:cs="Arial"/>
          <w:color w:val="auto"/>
          <w:sz w:val="20"/>
          <w:szCs w:val="20"/>
          <w:lang w:val="fr-FR"/>
        </w:rPr>
        <w:t xml:space="preserve">Avec PROFINET I/O, toutes les informations de mesure, de </w:t>
      </w:r>
      <w:proofErr w:type="spellStart"/>
      <w:r w:rsidRPr="00535D52">
        <w:rPr>
          <w:rFonts w:ascii="Arial" w:hAnsi="Arial" w:cs="Arial"/>
          <w:color w:val="auto"/>
          <w:sz w:val="20"/>
          <w:szCs w:val="20"/>
          <w:lang w:val="fr-FR"/>
        </w:rPr>
        <w:t>process</w:t>
      </w:r>
      <w:proofErr w:type="spellEnd"/>
      <w:r w:rsidRPr="00535D52">
        <w:rPr>
          <w:rFonts w:ascii="Arial" w:hAnsi="Arial" w:cs="Arial"/>
          <w:color w:val="auto"/>
          <w:sz w:val="20"/>
          <w:szCs w:val="20"/>
          <w:lang w:val="fr-FR"/>
        </w:rPr>
        <w:t xml:space="preserve"> et de diagnostic des débitmètres sont disponibles en temps réel via un unique canal de communication, ce qui permet une intégration directe et pratique de nouveaux débitmètres, l'identification directe d'appareils défectueux, ainsi que la communication bidirectionnelle et le paramétrage. Citons, au nombre des autres avantages, la réduction des coûts de câblage et de raccordement du matériel, sachant que PROFINET utilise une infrastructure Ethernet standardisée et homogène, depuis les appareils de terrain jusqu'à la salle de contrôle.</w:t>
      </w:r>
    </w:p>
    <w:p w:rsidR="00535D52" w:rsidRPr="00535D52" w:rsidRDefault="00535D52" w:rsidP="00535D52">
      <w:pPr>
        <w:adjustRightInd w:val="0"/>
        <w:spacing w:line="288" w:lineRule="auto"/>
        <w:ind w:right="495"/>
        <w:jc w:val="both"/>
        <w:rPr>
          <w:rFonts w:ascii="Arial" w:hAnsi="Arial" w:cs="Arial"/>
          <w:color w:val="auto"/>
          <w:sz w:val="20"/>
          <w:szCs w:val="20"/>
          <w:lang w:val="fr-FR"/>
        </w:rPr>
      </w:pPr>
    </w:p>
    <w:p w:rsidR="0008241B" w:rsidRDefault="00535D52" w:rsidP="00535D52">
      <w:pPr>
        <w:adjustRightInd w:val="0"/>
        <w:spacing w:line="288" w:lineRule="auto"/>
        <w:ind w:right="495"/>
        <w:jc w:val="both"/>
        <w:rPr>
          <w:rFonts w:ascii="Arial" w:hAnsi="Arial" w:cs="Arial"/>
          <w:color w:val="auto"/>
          <w:sz w:val="20"/>
          <w:szCs w:val="20"/>
          <w:lang w:val="fr-FR"/>
        </w:rPr>
      </w:pPr>
      <w:r w:rsidRPr="00535D52">
        <w:rPr>
          <w:rFonts w:ascii="Arial" w:hAnsi="Arial" w:cs="Arial"/>
          <w:color w:val="auto"/>
          <w:sz w:val="20"/>
          <w:szCs w:val="20"/>
          <w:lang w:val="fr-FR"/>
        </w:rPr>
        <w:t>En collaboration avec PHOENIX CONTACT, KROHNE a publié le livre blanc « Ethernet-</w:t>
      </w:r>
      <w:proofErr w:type="spellStart"/>
      <w:r w:rsidRPr="00535D52">
        <w:rPr>
          <w:rFonts w:ascii="Arial" w:hAnsi="Arial" w:cs="Arial"/>
          <w:color w:val="auto"/>
          <w:sz w:val="20"/>
          <w:szCs w:val="20"/>
          <w:lang w:val="fr-FR"/>
        </w:rPr>
        <w:t>Based</w:t>
      </w:r>
      <w:proofErr w:type="spellEnd"/>
      <w:r w:rsidRPr="00535D52">
        <w:rPr>
          <w:rFonts w:ascii="Arial" w:hAnsi="Arial" w:cs="Arial"/>
          <w:color w:val="auto"/>
          <w:sz w:val="20"/>
          <w:szCs w:val="20"/>
          <w:lang w:val="fr-FR"/>
        </w:rPr>
        <w:t xml:space="preserve"> PROFINET </w:t>
      </w:r>
      <w:proofErr w:type="spellStart"/>
      <w:r w:rsidRPr="00535D52">
        <w:rPr>
          <w:rFonts w:ascii="Arial" w:hAnsi="Arial" w:cs="Arial"/>
          <w:color w:val="auto"/>
          <w:sz w:val="20"/>
          <w:szCs w:val="20"/>
          <w:lang w:val="fr-FR"/>
        </w:rPr>
        <w:t>Integration</w:t>
      </w:r>
      <w:proofErr w:type="spellEnd"/>
      <w:r w:rsidRPr="00535D52">
        <w:rPr>
          <w:rFonts w:ascii="Arial" w:hAnsi="Arial" w:cs="Arial"/>
          <w:color w:val="auto"/>
          <w:sz w:val="20"/>
          <w:szCs w:val="20"/>
          <w:lang w:val="fr-FR"/>
        </w:rPr>
        <w:t xml:space="preserve"> of Field Instruments in the Water and </w:t>
      </w:r>
      <w:proofErr w:type="spellStart"/>
      <w:r w:rsidRPr="00535D52">
        <w:rPr>
          <w:rFonts w:ascii="Arial" w:hAnsi="Arial" w:cs="Arial"/>
          <w:color w:val="auto"/>
          <w:sz w:val="20"/>
          <w:szCs w:val="20"/>
          <w:lang w:val="fr-FR"/>
        </w:rPr>
        <w:t>Waste</w:t>
      </w:r>
      <w:proofErr w:type="spellEnd"/>
      <w:r w:rsidRPr="00535D52">
        <w:rPr>
          <w:rFonts w:ascii="Arial" w:hAnsi="Arial" w:cs="Arial"/>
          <w:color w:val="auto"/>
          <w:sz w:val="20"/>
          <w:szCs w:val="20"/>
          <w:lang w:val="fr-FR"/>
        </w:rPr>
        <w:t xml:space="preserve"> Water Industry » (Intégration via PROFINET à base d'Ethernet d'appareils de terrain dans l'industrie de l'eau et des eaux usées). Ce livre blanc gratuit explique plus en détail l'historique de PROFINET et ses avantages et montre différentes topologies de réseaux. Il est possible de le télécharger ici : </w:t>
      </w:r>
      <w:hyperlink r:id="rId9" w:history="1">
        <w:r w:rsidRPr="002817CF">
          <w:rPr>
            <w:rStyle w:val="Hyperlink"/>
            <w:rFonts w:ascii="Arial" w:hAnsi="Arial" w:cs="Arial"/>
            <w:sz w:val="20"/>
            <w:szCs w:val="20"/>
            <w:lang w:val="fr-FR"/>
          </w:rPr>
          <w:t>https://krohne.link/2r-mn</w:t>
        </w:r>
      </w:hyperlink>
      <w:r>
        <w:rPr>
          <w:rFonts w:ascii="Arial" w:hAnsi="Arial" w:cs="Arial"/>
          <w:color w:val="auto"/>
          <w:sz w:val="20"/>
          <w:szCs w:val="20"/>
          <w:lang w:val="fr-FR"/>
        </w:rPr>
        <w:t xml:space="preserve"> </w:t>
      </w:r>
      <w:r w:rsidRPr="00535D52">
        <w:rPr>
          <w:rFonts w:ascii="Arial" w:hAnsi="Arial" w:cs="Arial"/>
          <w:color w:val="auto"/>
          <w:sz w:val="20"/>
          <w:szCs w:val="20"/>
          <w:lang w:val="fr-FR"/>
        </w:rPr>
        <w:t xml:space="preserve">  </w:t>
      </w:r>
    </w:p>
    <w:p w:rsidR="00535D52" w:rsidRPr="004B27FB" w:rsidRDefault="00535D52" w:rsidP="00535D52">
      <w:pPr>
        <w:adjustRightInd w:val="0"/>
        <w:spacing w:line="288" w:lineRule="auto"/>
        <w:ind w:right="495"/>
        <w:jc w:val="both"/>
        <w:rPr>
          <w:rFonts w:ascii="Arial" w:hAnsi="Arial" w:cs="Arial"/>
          <w:color w:val="auto"/>
          <w:sz w:val="20"/>
          <w:szCs w:val="20"/>
          <w:lang w:val="fr-FR"/>
        </w:rPr>
      </w:pPr>
    </w:p>
    <w:p w:rsidR="006B0467" w:rsidRDefault="006B0467" w:rsidP="00C85C06">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2D1DC1">
        <w:rPr>
          <w:rFonts w:ascii="Arial" w:hAnsi="Arial" w:cs="Arial"/>
          <w:color w:val="auto"/>
          <w:sz w:val="20"/>
          <w:szCs w:val="20"/>
          <w:lang w:val="fr-FR"/>
        </w:rPr>
        <w:t>7</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32434C" w:rsidRPr="007C2FC8" w:rsidRDefault="0032434C" w:rsidP="00581C8F">
      <w:pPr>
        <w:adjustRightInd w:val="0"/>
        <w:spacing w:line="288" w:lineRule="auto"/>
        <w:ind w:right="495"/>
        <w:jc w:val="both"/>
        <w:rPr>
          <w:rFonts w:ascii="Arial" w:hAnsi="Arial" w:cs="Arial"/>
          <w:color w:val="auto"/>
          <w:sz w:val="20"/>
          <w:szCs w:val="20"/>
          <w:lang w:val="fr-FR"/>
        </w:rPr>
      </w:pPr>
    </w:p>
    <w:p w:rsidR="00AD5F96" w:rsidRPr="004D10BD" w:rsidRDefault="00535D52" w:rsidP="004D10BD">
      <w:pPr>
        <w:adjustRightInd w:val="0"/>
        <w:spacing w:line="288" w:lineRule="auto"/>
        <w:ind w:right="495"/>
        <w:jc w:val="both"/>
        <w:rPr>
          <w:rFonts w:ascii="Arial" w:hAnsi="Arial" w:cs="Arial"/>
          <w:color w:val="auto"/>
          <w:sz w:val="20"/>
          <w:szCs w:val="20"/>
          <w:lang w:val="fr-FR"/>
        </w:rPr>
      </w:pPr>
      <w:bookmarkStart w:id="0" w:name="_GoBack"/>
      <w:r>
        <w:rPr>
          <w:noProof/>
          <w:szCs w:val="20"/>
        </w:rPr>
        <w:drawing>
          <wp:inline distT="0" distB="0" distL="0" distR="0" wp14:anchorId="7E4042C6" wp14:editId="024EB366">
            <wp:extent cx="2355500" cy="1576754"/>
            <wp:effectExtent l="0" t="0" r="6985"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66555" cy="1584154"/>
                    </a:xfrm>
                    <a:prstGeom prst="rect">
                      <a:avLst/>
                    </a:prstGeom>
                    <a:noFill/>
                    <a:ln>
                      <a:noFill/>
                    </a:ln>
                  </pic:spPr>
                </pic:pic>
              </a:graphicData>
            </a:graphic>
          </wp:inline>
        </w:drawing>
      </w:r>
      <w:bookmarkEnd w:id="0"/>
    </w:p>
    <w:p w:rsidR="007B5881" w:rsidRDefault="00535D52" w:rsidP="004D10BD">
      <w:pPr>
        <w:adjustRightInd w:val="0"/>
        <w:spacing w:line="288" w:lineRule="auto"/>
        <w:ind w:right="495"/>
        <w:jc w:val="both"/>
        <w:rPr>
          <w:rFonts w:ascii="Arial" w:hAnsi="Arial" w:cs="Arial"/>
          <w:color w:val="auto"/>
          <w:sz w:val="20"/>
          <w:szCs w:val="20"/>
          <w:lang w:val="fr-FR"/>
        </w:rPr>
      </w:pPr>
      <w:r w:rsidRPr="00535D52">
        <w:rPr>
          <w:rFonts w:ascii="Arial" w:hAnsi="Arial" w:cs="Arial"/>
          <w:color w:val="auto"/>
          <w:sz w:val="20"/>
          <w:szCs w:val="20"/>
          <w:lang w:val="fr-FR"/>
        </w:rPr>
        <w:t>PROFINET I/O est désormais disponible pour les débitmètres électromagnétiques OPTIFLUX, WATERFLUX et TIDALFLUX avec convertisseur de mesure IFC 300</w:t>
      </w:r>
    </w:p>
    <w:p w:rsidR="007B5881" w:rsidRPr="004D10BD" w:rsidRDefault="007B5881"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535D52" w:rsidP="00A67269">
      <w:pPr>
        <w:spacing w:line="288" w:lineRule="auto"/>
        <w:rPr>
          <w:rFonts w:ascii="Arial" w:hAnsi="Arial" w:cs="Arial"/>
          <w:sz w:val="20"/>
          <w:szCs w:val="20"/>
          <w:lang w:val="fr-FR"/>
        </w:rPr>
      </w:pPr>
      <w:hyperlink r:id="rId11" w:history="1">
        <w:r w:rsidR="00A67269" w:rsidRPr="00C02D33">
          <w:rPr>
            <w:rStyle w:val="Hyperlink"/>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535D52" w:rsidP="00F8271A">
      <w:pPr>
        <w:spacing w:line="288" w:lineRule="auto"/>
        <w:rPr>
          <w:szCs w:val="20"/>
          <w:lang w:val="fr-FR"/>
        </w:rPr>
      </w:pPr>
      <w:hyperlink r:id="rId12" w:history="1">
        <w:r w:rsidR="00A67269" w:rsidRPr="00C02D33">
          <w:rPr>
            <w:rStyle w:val="Hyperlink"/>
            <w:rFonts w:ascii="Arial" w:hAnsi="Arial" w:cs="Arial"/>
            <w:sz w:val="20"/>
            <w:szCs w:val="20"/>
            <w:lang w:val="fr-FR"/>
          </w:rPr>
          <w:t>www.krohne.fr</w:t>
        </w:r>
      </w:hyperlink>
    </w:p>
    <w:sectPr w:rsidR="00FC1EBD" w:rsidRPr="00A618E7" w:rsidSect="00A9672B">
      <w:headerReference w:type="default" r:id="rId13"/>
      <w:footerReference w:type="default" r:id="rId14"/>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45C" w:rsidRDefault="0073245C">
      <w:r>
        <w:separator/>
      </w:r>
    </w:p>
  </w:endnote>
  <w:endnote w:type="continuationSeparator" w:id="0">
    <w:p w:rsidR="0073245C" w:rsidRDefault="0073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535D52">
            <w:rPr>
              <w:noProof/>
            </w:rPr>
            <w:t>2</w:t>
          </w:r>
          <w:r>
            <w:fldChar w:fldCharType="end"/>
          </w:r>
          <w:r>
            <w:rPr>
              <w:rStyle w:val="Seitenzahl"/>
              <w:rFonts w:cs="Arial"/>
              <w:sz w:val="16"/>
              <w:szCs w:val="16"/>
            </w:rPr>
            <w:t>/</w:t>
          </w:r>
          <w:r w:rsidR="00535D52">
            <w:fldChar w:fldCharType="begin"/>
          </w:r>
          <w:r w:rsidR="00535D52">
            <w:instrText xml:space="preserve"> NUMPAGES </w:instrText>
          </w:r>
          <w:r w:rsidR="00535D52">
            <w:fldChar w:fldCharType="separate"/>
          </w:r>
          <w:r w:rsidR="00535D52">
            <w:rPr>
              <w:noProof/>
            </w:rPr>
            <w:t>2</w:t>
          </w:r>
          <w:r w:rsidR="00535D52">
            <w:rPr>
              <w:noProof/>
            </w:rPr>
            <w:fldChar w:fldCharType="end"/>
          </w:r>
        </w:p>
      </w:tc>
    </w:tr>
  </w:tbl>
  <w:p w:rsidR="00E31D6C" w:rsidRDefault="00E31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45C" w:rsidRDefault="0073245C">
      <w:r>
        <w:separator/>
      </w:r>
    </w:p>
  </w:footnote>
  <w:footnote w:type="continuationSeparator" w:id="0">
    <w:p w:rsidR="0073245C" w:rsidRDefault="00732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Kopfzeile"/>
    </w:pPr>
    <w:r>
      <w:rPr>
        <w:noProof/>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8">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2">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4">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5">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6">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8">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5"/>
  </w:num>
  <w:num w:numId="3">
    <w:abstractNumId w:val="11"/>
  </w:num>
  <w:num w:numId="4">
    <w:abstractNumId w:val="13"/>
  </w:num>
  <w:num w:numId="5">
    <w:abstractNumId w:val="7"/>
  </w:num>
  <w:num w:numId="6">
    <w:abstractNumId w:val="17"/>
  </w:num>
  <w:num w:numId="7">
    <w:abstractNumId w:val="18"/>
  </w:num>
  <w:num w:numId="8">
    <w:abstractNumId w:val="14"/>
  </w:num>
  <w:num w:numId="9">
    <w:abstractNumId w:val="15"/>
  </w:num>
  <w:num w:numId="10">
    <w:abstractNumId w:val="8"/>
  </w:num>
  <w:num w:numId="11">
    <w:abstractNumId w:val="10"/>
  </w:num>
  <w:num w:numId="12">
    <w:abstractNumId w:val="19"/>
  </w:num>
  <w:num w:numId="13">
    <w:abstractNumId w:val="6"/>
  </w:num>
  <w:num w:numId="14">
    <w:abstractNumId w:val="0"/>
  </w:num>
  <w:num w:numId="15">
    <w:abstractNumId w:val="16"/>
  </w:num>
  <w:num w:numId="16">
    <w:abstractNumId w:val="9"/>
  </w:num>
  <w:num w:numId="17">
    <w:abstractNumId w:val="20"/>
  </w:num>
  <w:num w:numId="18">
    <w:abstractNumId w:val="4"/>
  </w:num>
  <w:num w:numId="19">
    <w:abstractNumId w:val="3"/>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2028"/>
    <w:rsid w:val="005F31A7"/>
    <w:rsid w:val="005F4A8F"/>
    <w:rsid w:val="005F5B22"/>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6B5F"/>
    <w:rsid w:val="00877300"/>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6387"/>
    <w:rsid w:val="009779AA"/>
    <w:rsid w:val="0098441C"/>
    <w:rsid w:val="00984C32"/>
    <w:rsid w:val="00986864"/>
    <w:rsid w:val="00991368"/>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078DE"/>
    <w:rsid w:val="00A105AC"/>
    <w:rsid w:val="00A139F0"/>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167"/>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5777"/>
    <w:rsid w:val="00AE6A8D"/>
    <w:rsid w:val="00AE7D30"/>
    <w:rsid w:val="00AF3B2E"/>
    <w:rsid w:val="00AF3B2F"/>
    <w:rsid w:val="00B0059C"/>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263A"/>
    <w:rsid w:val="00BA30DF"/>
    <w:rsid w:val="00BA542F"/>
    <w:rsid w:val="00BA61D8"/>
    <w:rsid w:val="00BA7F88"/>
    <w:rsid w:val="00BB4929"/>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1DE9"/>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rohne.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france@krohne.com?subject=demand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s://krohne.link/2r-mn"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054AE-5935-47E9-960C-C4B1769D6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410</Words>
  <Characters>2504</Characters>
  <Application>Microsoft Office Word</Application>
  <DocSecurity>0</DocSecurity>
  <Lines>20</Lines>
  <Paragraphs>5</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2909</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10</cp:revision>
  <cp:lastPrinted>2015-03-09T08:55:00Z</cp:lastPrinted>
  <dcterms:created xsi:type="dcterms:W3CDTF">2017-09-04T13:03:00Z</dcterms:created>
  <dcterms:modified xsi:type="dcterms:W3CDTF">2017-12-14T11:40:00Z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