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A24CE3" w:rsidP="00857CFF">
      <w:pPr>
        <w:adjustRightInd w:val="0"/>
        <w:spacing w:line="288" w:lineRule="auto"/>
        <w:ind w:right="495"/>
        <w:jc w:val="both"/>
        <w:rPr>
          <w:rFonts w:ascii="Arial" w:hAnsi="Arial" w:cs="Arial"/>
          <w:b/>
          <w:color w:val="auto"/>
          <w:sz w:val="32"/>
          <w:szCs w:val="32"/>
          <w:lang w:val="en-US"/>
        </w:rPr>
      </w:pPr>
      <w:r w:rsidRPr="00A24CE3">
        <w:rPr>
          <w:rFonts w:ascii="Arial" w:hAnsi="Arial" w:cs="Arial"/>
          <w:b/>
          <w:color w:val="auto"/>
          <w:sz w:val="32"/>
          <w:szCs w:val="32"/>
          <w:lang w:val="en-US"/>
        </w:rPr>
        <w:t xml:space="preserve">PROFINET I/O </w:t>
      </w:r>
      <w:r>
        <w:rPr>
          <w:rFonts w:ascii="Arial" w:hAnsi="Arial" w:cs="Arial"/>
          <w:b/>
          <w:color w:val="auto"/>
          <w:sz w:val="32"/>
          <w:szCs w:val="32"/>
          <w:lang w:val="en-US"/>
        </w:rPr>
        <w:t>option</w:t>
      </w:r>
      <w:r w:rsidR="00251BA3">
        <w:rPr>
          <w:rFonts w:ascii="Arial" w:hAnsi="Arial" w:cs="Arial"/>
          <w:b/>
          <w:color w:val="auto"/>
          <w:sz w:val="32"/>
          <w:szCs w:val="32"/>
          <w:lang w:val="en-US"/>
        </w:rPr>
        <w:t xml:space="preserve"> for electromagnetic flowmeters</w:t>
      </w:r>
    </w:p>
    <w:p w:rsidR="00657B46" w:rsidRDefault="00A24CE3" w:rsidP="0001264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Industrial Ethernet communication for OPTIFLUX, WATERFLUX and TIDALFLUX flowmeters</w:t>
      </w:r>
    </w:p>
    <w:p w:rsidR="00657B46" w:rsidRPr="00300886" w:rsidRDefault="00300886"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Measuring, p</w:t>
      </w:r>
      <w:r w:rsidR="00657B46" w:rsidRPr="00657B46">
        <w:rPr>
          <w:rFonts w:ascii="Arial" w:hAnsi="Arial" w:cs="Arial"/>
          <w:color w:val="auto"/>
          <w:sz w:val="20"/>
          <w:szCs w:val="20"/>
          <w:lang w:val="en-US"/>
        </w:rPr>
        <w:t>rocess and diagnostic information via a single communication channel</w:t>
      </w:r>
    </w:p>
    <w:p w:rsidR="00300886" w:rsidRPr="00E13592" w:rsidRDefault="00300886"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 xml:space="preserve">Direct integration, reduced costs for wiring and </w:t>
      </w:r>
      <w:r w:rsidR="00165B37">
        <w:rPr>
          <w:rFonts w:ascii="Arial" w:hAnsi="Arial" w:cs="Arial"/>
          <w:color w:val="auto"/>
          <w:sz w:val="20"/>
          <w:szCs w:val="20"/>
          <w:lang w:val="en-US"/>
        </w:rPr>
        <w:t>connecting hardware</w:t>
      </w:r>
    </w:p>
    <w:p w:rsidR="00E13592" w:rsidRPr="00657B46" w:rsidRDefault="00E13592"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Free whitepaper “</w:t>
      </w:r>
      <w:r w:rsidRPr="00E13592">
        <w:rPr>
          <w:rFonts w:ascii="Arial" w:hAnsi="Arial" w:cs="Arial"/>
          <w:color w:val="auto"/>
          <w:sz w:val="20"/>
          <w:szCs w:val="20"/>
          <w:lang w:val="en-US"/>
        </w:rPr>
        <w:t>Ethernet-Based PROFINET Integration of Field Instruments in the Water and Waste Water Industry</w:t>
      </w:r>
      <w:r>
        <w:rPr>
          <w:rFonts w:ascii="Arial" w:hAnsi="Arial" w:cs="Arial"/>
          <w:color w:val="auto"/>
          <w:sz w:val="20"/>
          <w:szCs w:val="20"/>
          <w:lang w:val="en-US"/>
        </w:rPr>
        <w:t>”</w:t>
      </w:r>
    </w:p>
    <w:p w:rsidR="00657B46" w:rsidRPr="00657B46" w:rsidRDefault="00657B46" w:rsidP="00300886">
      <w:pPr>
        <w:pStyle w:val="Listenabsatz"/>
        <w:adjustRightInd w:val="0"/>
        <w:spacing w:before="120" w:after="120" w:line="288" w:lineRule="auto"/>
        <w:ind w:right="493"/>
        <w:jc w:val="both"/>
        <w:rPr>
          <w:rFonts w:ascii="Arial" w:hAnsi="Arial" w:cs="Arial"/>
          <w:b/>
          <w:color w:val="auto"/>
          <w:sz w:val="20"/>
          <w:szCs w:val="20"/>
          <w:lang w:val="en-US"/>
        </w:rPr>
      </w:pP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165B37" w:rsidRDefault="00AB2BB1" w:rsidP="00165B37">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066C61">
        <w:rPr>
          <w:rFonts w:ascii="Arial" w:hAnsi="Arial" w:cs="Arial"/>
          <w:color w:val="auto"/>
          <w:sz w:val="20"/>
          <w:szCs w:val="20"/>
          <w:lang w:val="en-US"/>
        </w:rPr>
        <w:t>December</w:t>
      </w:r>
      <w:r w:rsidR="00A24CE3">
        <w:rPr>
          <w:rFonts w:ascii="Arial" w:hAnsi="Arial" w:cs="Arial"/>
          <w:color w:val="auto"/>
          <w:sz w:val="20"/>
          <w:szCs w:val="20"/>
          <w:lang w:val="en-US"/>
        </w:rPr>
        <w:t xml:space="preserve"> </w:t>
      </w:r>
      <w:r w:rsidR="00066C61">
        <w:rPr>
          <w:rFonts w:ascii="Arial" w:hAnsi="Arial" w:cs="Arial"/>
          <w:color w:val="auto"/>
          <w:sz w:val="20"/>
          <w:szCs w:val="20"/>
          <w:lang w:val="en-US"/>
        </w:rPr>
        <w:t>7</w:t>
      </w:r>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657B46">
        <w:rPr>
          <w:rFonts w:ascii="Arial" w:hAnsi="Arial" w:cs="Arial"/>
          <w:color w:val="auto"/>
          <w:sz w:val="20"/>
          <w:szCs w:val="20"/>
          <w:lang w:val="en-US"/>
        </w:rPr>
        <w:t xml:space="preserve">As new </w:t>
      </w:r>
      <w:r w:rsidR="0063011C">
        <w:rPr>
          <w:rFonts w:ascii="Arial" w:hAnsi="Arial" w:cs="Arial"/>
          <w:color w:val="auto"/>
          <w:sz w:val="20"/>
          <w:szCs w:val="20"/>
          <w:lang w:val="en-US"/>
        </w:rPr>
        <w:t>I</w:t>
      </w:r>
      <w:r w:rsidR="0063011C" w:rsidRPr="0063011C">
        <w:rPr>
          <w:rFonts w:ascii="Arial" w:hAnsi="Arial" w:cs="Arial"/>
          <w:color w:val="auto"/>
          <w:sz w:val="20"/>
          <w:szCs w:val="20"/>
          <w:lang w:val="en-US"/>
        </w:rPr>
        <w:t xml:space="preserve">ndustrial </w:t>
      </w:r>
      <w:r w:rsidR="0063011C">
        <w:rPr>
          <w:rFonts w:ascii="Arial" w:hAnsi="Arial" w:cs="Arial"/>
          <w:color w:val="auto"/>
          <w:sz w:val="20"/>
          <w:szCs w:val="20"/>
          <w:lang w:val="en-US"/>
        </w:rPr>
        <w:t>E</w:t>
      </w:r>
      <w:r w:rsidR="0063011C" w:rsidRPr="0063011C">
        <w:rPr>
          <w:rFonts w:ascii="Arial" w:hAnsi="Arial" w:cs="Arial"/>
          <w:color w:val="auto"/>
          <w:sz w:val="20"/>
          <w:szCs w:val="20"/>
          <w:lang w:val="en-US"/>
        </w:rPr>
        <w:t xml:space="preserve">thernet communication </w:t>
      </w:r>
      <w:r w:rsidR="00657B46">
        <w:rPr>
          <w:rFonts w:ascii="Arial" w:hAnsi="Arial" w:cs="Arial"/>
          <w:color w:val="auto"/>
          <w:sz w:val="20"/>
          <w:szCs w:val="20"/>
          <w:lang w:val="en-US"/>
        </w:rPr>
        <w:t xml:space="preserve">option, </w:t>
      </w:r>
      <w:r w:rsidR="00251BA3" w:rsidRPr="00251BA3">
        <w:rPr>
          <w:rFonts w:ascii="Arial" w:hAnsi="Arial" w:cs="Arial"/>
          <w:color w:val="auto"/>
          <w:sz w:val="20"/>
          <w:szCs w:val="20"/>
          <w:lang w:val="en-US"/>
        </w:rPr>
        <w:t>PROFINET I/O is</w:t>
      </w:r>
      <w:r w:rsidR="00657B46">
        <w:rPr>
          <w:rFonts w:ascii="Arial" w:hAnsi="Arial" w:cs="Arial"/>
          <w:color w:val="auto"/>
          <w:sz w:val="20"/>
          <w:szCs w:val="20"/>
          <w:lang w:val="en-US"/>
        </w:rPr>
        <w:t xml:space="preserve"> </w:t>
      </w:r>
      <w:r w:rsidR="0063011C">
        <w:rPr>
          <w:rFonts w:ascii="Arial" w:hAnsi="Arial" w:cs="Arial"/>
          <w:color w:val="auto"/>
          <w:sz w:val="20"/>
          <w:szCs w:val="20"/>
          <w:lang w:val="en-US"/>
        </w:rPr>
        <w:t xml:space="preserve">now </w:t>
      </w:r>
      <w:r w:rsidR="00251BA3" w:rsidRPr="00251BA3">
        <w:rPr>
          <w:rFonts w:ascii="Arial" w:hAnsi="Arial" w:cs="Arial"/>
          <w:color w:val="auto"/>
          <w:sz w:val="20"/>
          <w:szCs w:val="20"/>
          <w:lang w:val="en-US"/>
        </w:rPr>
        <w:t xml:space="preserve">available for </w:t>
      </w:r>
      <w:r w:rsidR="00251BA3">
        <w:rPr>
          <w:rFonts w:ascii="Arial" w:hAnsi="Arial" w:cs="Arial"/>
          <w:color w:val="auto"/>
          <w:sz w:val="20"/>
          <w:szCs w:val="20"/>
          <w:lang w:val="en-US"/>
        </w:rPr>
        <w:t>electromagn</w:t>
      </w:r>
      <w:r w:rsidR="00E13592">
        <w:rPr>
          <w:rFonts w:ascii="Arial" w:hAnsi="Arial" w:cs="Arial"/>
          <w:color w:val="auto"/>
          <w:sz w:val="20"/>
          <w:szCs w:val="20"/>
          <w:lang w:val="en-US"/>
        </w:rPr>
        <w:t>et</w:t>
      </w:r>
      <w:r w:rsidR="00251BA3">
        <w:rPr>
          <w:rFonts w:ascii="Arial" w:hAnsi="Arial" w:cs="Arial"/>
          <w:color w:val="auto"/>
          <w:sz w:val="20"/>
          <w:szCs w:val="20"/>
          <w:lang w:val="en-US"/>
        </w:rPr>
        <w:t>ic flowmeters with IFC 300 signal converter</w:t>
      </w:r>
      <w:r w:rsidR="00A10AD5">
        <w:rPr>
          <w:rFonts w:ascii="Arial" w:hAnsi="Arial" w:cs="Arial"/>
          <w:color w:val="auto"/>
          <w:sz w:val="20"/>
          <w:szCs w:val="20"/>
          <w:lang w:val="en-US"/>
        </w:rPr>
        <w:t xml:space="preserve">. </w:t>
      </w:r>
      <w:r w:rsidR="000B3CD8" w:rsidRPr="000B3CD8">
        <w:rPr>
          <w:rFonts w:ascii="Arial" w:hAnsi="Arial" w:cs="Arial"/>
          <w:color w:val="auto"/>
          <w:sz w:val="20"/>
          <w:szCs w:val="20"/>
          <w:lang w:val="en-US"/>
        </w:rPr>
        <w:t>This includes all compact (C) and field (F) versions of the OPTIFLUX x300 series (except OPTIFLUX 7000), WATERFLUX 3300 and TIDALFLUX 2300.</w:t>
      </w:r>
      <w:bookmarkStart w:id="0" w:name="_GoBack"/>
      <w:bookmarkEnd w:id="0"/>
    </w:p>
    <w:p w:rsidR="00165B37" w:rsidRDefault="00165B37" w:rsidP="00300886">
      <w:pPr>
        <w:adjustRightInd w:val="0"/>
        <w:spacing w:line="288" w:lineRule="auto"/>
        <w:ind w:right="495"/>
        <w:jc w:val="both"/>
        <w:rPr>
          <w:rFonts w:ascii="Arial" w:hAnsi="Arial" w:cs="Arial"/>
          <w:color w:val="auto"/>
          <w:sz w:val="20"/>
          <w:szCs w:val="20"/>
          <w:lang w:val="en-US"/>
        </w:rPr>
      </w:pPr>
    </w:p>
    <w:p w:rsidR="00300886" w:rsidRDefault="0063011C" w:rsidP="0030088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With </w:t>
      </w:r>
      <w:r w:rsidRPr="00A24CE3">
        <w:rPr>
          <w:rFonts w:ascii="Arial" w:hAnsi="Arial" w:cs="Arial"/>
          <w:color w:val="auto"/>
          <w:sz w:val="20"/>
          <w:szCs w:val="20"/>
          <w:lang w:val="en-US"/>
        </w:rPr>
        <w:t>PROFINET I/O</w:t>
      </w:r>
      <w:r>
        <w:rPr>
          <w:rFonts w:ascii="Arial" w:hAnsi="Arial" w:cs="Arial"/>
          <w:color w:val="auto"/>
          <w:sz w:val="20"/>
          <w:szCs w:val="20"/>
          <w:lang w:val="en-US"/>
        </w:rPr>
        <w:t>, a</w:t>
      </w:r>
      <w:r w:rsidRPr="00A24CE3">
        <w:rPr>
          <w:rFonts w:ascii="Arial" w:hAnsi="Arial" w:cs="Arial"/>
          <w:color w:val="auto"/>
          <w:sz w:val="20"/>
          <w:szCs w:val="20"/>
          <w:lang w:val="en-US"/>
        </w:rPr>
        <w:t xml:space="preserve">ll </w:t>
      </w:r>
      <w:r>
        <w:rPr>
          <w:rFonts w:ascii="Arial" w:hAnsi="Arial" w:cs="Arial"/>
          <w:color w:val="auto"/>
          <w:sz w:val="20"/>
          <w:szCs w:val="20"/>
          <w:lang w:val="en-US"/>
        </w:rPr>
        <w:t xml:space="preserve">measuring, </w:t>
      </w:r>
      <w:r w:rsidRPr="00A24CE3">
        <w:rPr>
          <w:rFonts w:ascii="Arial" w:hAnsi="Arial" w:cs="Arial"/>
          <w:color w:val="auto"/>
          <w:sz w:val="20"/>
          <w:szCs w:val="20"/>
          <w:lang w:val="en-US"/>
        </w:rPr>
        <w:t>process and diagnostic information</w:t>
      </w:r>
      <w:r>
        <w:rPr>
          <w:rFonts w:ascii="Arial" w:hAnsi="Arial" w:cs="Arial"/>
          <w:color w:val="auto"/>
          <w:sz w:val="20"/>
          <w:szCs w:val="20"/>
          <w:lang w:val="en-US"/>
        </w:rPr>
        <w:t xml:space="preserve"> from </w:t>
      </w:r>
      <w:r w:rsidR="00300886">
        <w:rPr>
          <w:rFonts w:ascii="Arial" w:hAnsi="Arial" w:cs="Arial"/>
          <w:color w:val="auto"/>
          <w:sz w:val="20"/>
          <w:szCs w:val="20"/>
          <w:lang w:val="en-US"/>
        </w:rPr>
        <w:t>the meters</w:t>
      </w:r>
      <w:r w:rsidRPr="00A24CE3">
        <w:rPr>
          <w:rFonts w:ascii="Arial" w:hAnsi="Arial" w:cs="Arial"/>
          <w:color w:val="auto"/>
          <w:sz w:val="20"/>
          <w:szCs w:val="20"/>
          <w:lang w:val="en-US"/>
        </w:rPr>
        <w:t xml:space="preserve"> </w:t>
      </w:r>
      <w:r>
        <w:rPr>
          <w:rFonts w:ascii="Arial" w:hAnsi="Arial" w:cs="Arial"/>
          <w:color w:val="auto"/>
          <w:sz w:val="20"/>
          <w:szCs w:val="20"/>
          <w:lang w:val="en-US"/>
        </w:rPr>
        <w:t xml:space="preserve">is available </w:t>
      </w:r>
      <w:r w:rsidRPr="00A24CE3">
        <w:rPr>
          <w:rFonts w:ascii="Arial" w:hAnsi="Arial" w:cs="Arial"/>
          <w:color w:val="auto"/>
          <w:sz w:val="20"/>
          <w:szCs w:val="20"/>
          <w:lang w:val="en-US"/>
        </w:rPr>
        <w:t>real-time</w:t>
      </w:r>
      <w:r>
        <w:rPr>
          <w:rFonts w:ascii="Arial" w:hAnsi="Arial" w:cs="Arial"/>
          <w:color w:val="auto"/>
          <w:sz w:val="20"/>
          <w:szCs w:val="20"/>
          <w:lang w:val="en-US"/>
        </w:rPr>
        <w:t xml:space="preserve"> </w:t>
      </w:r>
      <w:r w:rsidRPr="00A24CE3">
        <w:rPr>
          <w:rFonts w:ascii="Arial" w:hAnsi="Arial" w:cs="Arial"/>
          <w:color w:val="auto"/>
          <w:sz w:val="20"/>
          <w:szCs w:val="20"/>
          <w:lang w:val="en-US"/>
        </w:rPr>
        <w:t xml:space="preserve">via </w:t>
      </w:r>
      <w:r>
        <w:rPr>
          <w:rFonts w:ascii="Arial" w:hAnsi="Arial" w:cs="Arial"/>
          <w:color w:val="auto"/>
          <w:sz w:val="20"/>
          <w:szCs w:val="20"/>
          <w:lang w:val="en-US"/>
        </w:rPr>
        <w:t xml:space="preserve">a single communication channel, </w:t>
      </w:r>
      <w:r w:rsidR="00300886">
        <w:rPr>
          <w:rFonts w:ascii="Arial" w:hAnsi="Arial" w:cs="Arial"/>
          <w:color w:val="auto"/>
          <w:sz w:val="20"/>
          <w:szCs w:val="20"/>
          <w:lang w:val="en-US"/>
        </w:rPr>
        <w:t xml:space="preserve">allowing for </w:t>
      </w:r>
      <w:r w:rsidR="00A10AD5">
        <w:rPr>
          <w:rFonts w:ascii="Arial" w:hAnsi="Arial" w:cs="Arial"/>
          <w:color w:val="auto"/>
          <w:sz w:val="20"/>
          <w:szCs w:val="20"/>
          <w:lang w:val="en-US"/>
        </w:rPr>
        <w:t xml:space="preserve">direct and convenient integration of new </w:t>
      </w:r>
      <w:r>
        <w:rPr>
          <w:rFonts w:ascii="Arial" w:hAnsi="Arial" w:cs="Arial"/>
          <w:color w:val="auto"/>
          <w:sz w:val="20"/>
          <w:szCs w:val="20"/>
          <w:lang w:val="en-US"/>
        </w:rPr>
        <w:t>meters, d</w:t>
      </w:r>
      <w:r w:rsidRPr="0063011C">
        <w:rPr>
          <w:rFonts w:ascii="Arial" w:hAnsi="Arial" w:cs="Arial"/>
          <w:color w:val="auto"/>
          <w:sz w:val="20"/>
          <w:szCs w:val="20"/>
          <w:lang w:val="en-US"/>
        </w:rPr>
        <w:t xml:space="preserve">irect identification of defective </w:t>
      </w:r>
      <w:r>
        <w:rPr>
          <w:rFonts w:ascii="Arial" w:hAnsi="Arial" w:cs="Arial"/>
          <w:color w:val="auto"/>
          <w:sz w:val="20"/>
          <w:szCs w:val="20"/>
          <w:lang w:val="en-US"/>
        </w:rPr>
        <w:t>devices</w:t>
      </w:r>
      <w:r w:rsidRPr="0063011C">
        <w:rPr>
          <w:rFonts w:ascii="Arial" w:hAnsi="Arial" w:cs="Arial"/>
          <w:color w:val="auto"/>
          <w:sz w:val="20"/>
          <w:szCs w:val="20"/>
          <w:lang w:val="en-US"/>
        </w:rPr>
        <w:t xml:space="preserve"> </w:t>
      </w:r>
      <w:r>
        <w:rPr>
          <w:rFonts w:ascii="Arial" w:hAnsi="Arial" w:cs="Arial"/>
          <w:color w:val="auto"/>
          <w:sz w:val="20"/>
          <w:szCs w:val="20"/>
          <w:lang w:val="en-US"/>
        </w:rPr>
        <w:t>as well as b</w:t>
      </w:r>
      <w:r w:rsidRPr="0063011C">
        <w:rPr>
          <w:rFonts w:ascii="Arial" w:hAnsi="Arial" w:cs="Arial"/>
          <w:color w:val="auto"/>
          <w:sz w:val="20"/>
          <w:szCs w:val="20"/>
          <w:lang w:val="en-US"/>
        </w:rPr>
        <w:t>idirectional comm</w:t>
      </w:r>
      <w:r>
        <w:rPr>
          <w:rFonts w:ascii="Arial" w:hAnsi="Arial" w:cs="Arial"/>
          <w:color w:val="auto"/>
          <w:sz w:val="20"/>
          <w:szCs w:val="20"/>
          <w:lang w:val="en-US"/>
        </w:rPr>
        <w:t xml:space="preserve">unication and parameter setting. </w:t>
      </w:r>
      <w:r w:rsidR="00300886">
        <w:rPr>
          <w:rFonts w:ascii="Arial" w:hAnsi="Arial" w:cs="Arial"/>
          <w:color w:val="auto"/>
          <w:sz w:val="20"/>
          <w:szCs w:val="20"/>
          <w:lang w:val="en-US"/>
        </w:rPr>
        <w:t xml:space="preserve">Other advantages include reduced costs for wiring and connecting hardware since PROFINET uses </w:t>
      </w:r>
      <w:proofErr w:type="spellStart"/>
      <w:r w:rsidR="00300886">
        <w:rPr>
          <w:rFonts w:ascii="Arial" w:hAnsi="Arial" w:cs="Arial"/>
          <w:color w:val="auto"/>
          <w:sz w:val="20"/>
          <w:szCs w:val="20"/>
          <w:lang w:val="en-US"/>
        </w:rPr>
        <w:t>s</w:t>
      </w:r>
      <w:r w:rsidR="00300886" w:rsidRPr="00300886">
        <w:rPr>
          <w:rFonts w:ascii="Arial" w:hAnsi="Arial" w:cs="Arial"/>
          <w:color w:val="auto"/>
          <w:sz w:val="20"/>
          <w:szCs w:val="20"/>
          <w:lang w:val="en-US"/>
        </w:rPr>
        <w:t>tandardised</w:t>
      </w:r>
      <w:proofErr w:type="spellEnd"/>
      <w:r w:rsidR="00300886" w:rsidRPr="00300886">
        <w:rPr>
          <w:rFonts w:ascii="Arial" w:hAnsi="Arial" w:cs="Arial"/>
          <w:color w:val="auto"/>
          <w:sz w:val="20"/>
          <w:szCs w:val="20"/>
          <w:lang w:val="en-US"/>
        </w:rPr>
        <w:t xml:space="preserve"> and homogenous </w:t>
      </w:r>
      <w:r w:rsidR="00300886">
        <w:rPr>
          <w:rFonts w:ascii="Arial" w:hAnsi="Arial" w:cs="Arial"/>
          <w:color w:val="auto"/>
          <w:sz w:val="20"/>
          <w:szCs w:val="20"/>
          <w:lang w:val="en-US"/>
        </w:rPr>
        <w:t>Ethernet infrastructure from field devices to control room.</w:t>
      </w:r>
    </w:p>
    <w:p w:rsidR="00165B37" w:rsidRDefault="00165B37" w:rsidP="00300886">
      <w:pPr>
        <w:adjustRightInd w:val="0"/>
        <w:spacing w:line="288" w:lineRule="auto"/>
        <w:ind w:right="495"/>
        <w:jc w:val="both"/>
        <w:rPr>
          <w:rFonts w:ascii="Arial" w:hAnsi="Arial" w:cs="Arial"/>
          <w:color w:val="auto"/>
          <w:sz w:val="20"/>
          <w:szCs w:val="20"/>
          <w:lang w:val="en-US"/>
        </w:rPr>
      </w:pPr>
    </w:p>
    <w:p w:rsidR="00165B37" w:rsidRPr="00A10AD5" w:rsidRDefault="00165B37" w:rsidP="0030088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 collaboration with PHOENIX CONTACT, KROHNE </w:t>
      </w:r>
      <w:r w:rsidR="00E13592">
        <w:rPr>
          <w:rFonts w:ascii="Arial" w:hAnsi="Arial" w:cs="Arial"/>
          <w:color w:val="auto"/>
          <w:sz w:val="20"/>
          <w:szCs w:val="20"/>
          <w:lang w:val="en-US"/>
        </w:rPr>
        <w:t>has published the whitepaper “</w:t>
      </w:r>
      <w:r w:rsidR="00E13592" w:rsidRPr="00E13592">
        <w:rPr>
          <w:rFonts w:ascii="Arial" w:hAnsi="Arial" w:cs="Arial"/>
          <w:color w:val="auto"/>
          <w:sz w:val="20"/>
          <w:szCs w:val="20"/>
          <w:lang w:val="en-US"/>
        </w:rPr>
        <w:t>Ethernet-Based PROFINET Integration of Field Instruments in the Water and Waste Water Industry</w:t>
      </w:r>
      <w:r w:rsidR="00E13592">
        <w:rPr>
          <w:rFonts w:ascii="Arial" w:hAnsi="Arial" w:cs="Arial"/>
          <w:color w:val="auto"/>
          <w:sz w:val="20"/>
          <w:szCs w:val="20"/>
          <w:lang w:val="en-US"/>
        </w:rPr>
        <w:t xml:space="preserve">”. The free whitepaper </w:t>
      </w:r>
      <w:r w:rsidR="009D2F0F">
        <w:rPr>
          <w:rFonts w:ascii="Arial" w:hAnsi="Arial" w:cs="Arial"/>
          <w:color w:val="auto"/>
          <w:sz w:val="20"/>
          <w:szCs w:val="20"/>
          <w:lang w:val="en-US"/>
        </w:rPr>
        <w:t xml:space="preserve">explains </w:t>
      </w:r>
      <w:r w:rsidR="00E13592">
        <w:rPr>
          <w:rFonts w:ascii="Arial" w:hAnsi="Arial" w:cs="Arial"/>
          <w:color w:val="auto"/>
          <w:sz w:val="20"/>
          <w:szCs w:val="20"/>
          <w:lang w:val="en-US"/>
        </w:rPr>
        <w:t xml:space="preserve">the </w:t>
      </w:r>
      <w:r w:rsidRPr="00E13592">
        <w:rPr>
          <w:rFonts w:ascii="Arial" w:hAnsi="Arial" w:cs="Arial"/>
          <w:color w:val="auto"/>
          <w:sz w:val="20"/>
          <w:szCs w:val="20"/>
          <w:lang w:val="en-US"/>
        </w:rPr>
        <w:t>background</w:t>
      </w:r>
      <w:r w:rsidR="00E13592">
        <w:rPr>
          <w:rFonts w:ascii="Arial" w:hAnsi="Arial" w:cs="Arial"/>
          <w:color w:val="auto"/>
          <w:sz w:val="20"/>
          <w:szCs w:val="20"/>
          <w:lang w:val="en-US"/>
        </w:rPr>
        <w:t xml:space="preserve"> of PROFINET and its</w:t>
      </w:r>
      <w:r w:rsidRPr="00E13592">
        <w:rPr>
          <w:rFonts w:ascii="Arial" w:hAnsi="Arial" w:cs="Arial"/>
          <w:color w:val="auto"/>
          <w:sz w:val="20"/>
          <w:szCs w:val="20"/>
          <w:lang w:val="en-US"/>
        </w:rPr>
        <w:t xml:space="preserve"> benefits in more detail </w:t>
      </w:r>
      <w:r w:rsidR="00E13592">
        <w:rPr>
          <w:rFonts w:ascii="Arial" w:hAnsi="Arial" w:cs="Arial"/>
          <w:color w:val="auto"/>
          <w:sz w:val="20"/>
          <w:szCs w:val="20"/>
          <w:lang w:val="en-US"/>
        </w:rPr>
        <w:t xml:space="preserve">and </w:t>
      </w:r>
      <w:r w:rsidRPr="00E13592">
        <w:rPr>
          <w:rFonts w:ascii="Arial" w:hAnsi="Arial" w:cs="Arial"/>
          <w:color w:val="auto"/>
          <w:sz w:val="20"/>
          <w:szCs w:val="20"/>
          <w:lang w:val="en-US"/>
        </w:rPr>
        <w:t>show</w:t>
      </w:r>
      <w:r w:rsidR="009D2F0F">
        <w:rPr>
          <w:rFonts w:ascii="Arial" w:hAnsi="Arial" w:cs="Arial"/>
          <w:color w:val="auto"/>
          <w:sz w:val="20"/>
          <w:szCs w:val="20"/>
          <w:lang w:val="en-US"/>
        </w:rPr>
        <w:t>s</w:t>
      </w:r>
      <w:r w:rsidRPr="00E13592">
        <w:rPr>
          <w:rFonts w:ascii="Arial" w:hAnsi="Arial" w:cs="Arial"/>
          <w:color w:val="auto"/>
          <w:sz w:val="20"/>
          <w:szCs w:val="20"/>
          <w:lang w:val="en-US"/>
        </w:rPr>
        <w:t xml:space="preserve"> different network topologies</w:t>
      </w:r>
      <w:r w:rsidR="009D2F0F">
        <w:rPr>
          <w:rFonts w:ascii="Arial" w:hAnsi="Arial" w:cs="Arial"/>
          <w:color w:val="auto"/>
          <w:sz w:val="20"/>
          <w:szCs w:val="20"/>
          <w:lang w:val="en-US"/>
        </w:rPr>
        <w:t>. It</w:t>
      </w:r>
      <w:r w:rsidR="00E13592">
        <w:rPr>
          <w:rFonts w:ascii="Arial" w:hAnsi="Arial" w:cs="Arial"/>
          <w:color w:val="auto"/>
          <w:sz w:val="20"/>
          <w:szCs w:val="20"/>
          <w:lang w:val="en-US"/>
        </w:rPr>
        <w:t xml:space="preserve"> can be downloaded here: </w:t>
      </w:r>
      <w:r w:rsidR="000B749A">
        <w:fldChar w:fldCharType="begin"/>
      </w:r>
      <w:r w:rsidR="000B749A" w:rsidRPr="000B3CD8">
        <w:rPr>
          <w:lang w:val="en-US"/>
        </w:rPr>
        <w:instrText xml:space="preserve"> HYPERLINK "https://krohne.link/2r-mn" </w:instrText>
      </w:r>
      <w:r w:rsidR="000B749A">
        <w:fldChar w:fldCharType="separate"/>
      </w:r>
      <w:r w:rsidR="00E13592" w:rsidRPr="00FF15A1">
        <w:rPr>
          <w:rStyle w:val="Hyperlink"/>
          <w:rFonts w:ascii="Arial" w:hAnsi="Arial" w:cs="Arial"/>
          <w:sz w:val="20"/>
          <w:szCs w:val="20"/>
          <w:lang w:val="en-US"/>
        </w:rPr>
        <w:t>https://krohne.link/2r-mn</w:t>
      </w:r>
      <w:r w:rsidR="000B749A">
        <w:rPr>
          <w:rStyle w:val="Hyperlink"/>
          <w:rFonts w:ascii="Arial" w:hAnsi="Arial" w:cs="Arial"/>
          <w:sz w:val="20"/>
          <w:szCs w:val="20"/>
          <w:lang w:val="en-US"/>
        </w:rPr>
        <w:fldChar w:fldCharType="end"/>
      </w:r>
      <w:r w:rsidR="00E13592">
        <w:rPr>
          <w:rFonts w:ascii="Arial" w:hAnsi="Arial" w:cs="Arial"/>
          <w:color w:val="auto"/>
          <w:sz w:val="20"/>
          <w:szCs w:val="20"/>
          <w:lang w:val="en-US"/>
        </w:rPr>
        <w:t xml:space="preserve"> </w:t>
      </w:r>
    </w:p>
    <w:p w:rsidR="00251BA3" w:rsidRDefault="00251BA3" w:rsidP="00251BA3">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E13592" w:rsidP="00AB2BB1">
      <w:pPr>
        <w:pStyle w:val="1CD-BodyCharChar"/>
        <w:spacing w:line="288" w:lineRule="auto"/>
        <w:rPr>
          <w:szCs w:val="20"/>
          <w:lang w:val="en-US"/>
        </w:rPr>
      </w:pPr>
      <w:r>
        <w:rPr>
          <w:noProof/>
          <w:szCs w:val="20"/>
        </w:rPr>
        <w:drawing>
          <wp:inline distT="0" distB="0" distL="0" distR="0">
            <wp:extent cx="2296633" cy="1537347"/>
            <wp:effectExtent l="0" t="0" r="889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96686" cy="1537383"/>
                    </a:xfrm>
                    <a:prstGeom prst="rect">
                      <a:avLst/>
                    </a:prstGeom>
                    <a:noFill/>
                    <a:ln>
                      <a:noFill/>
                    </a:ln>
                  </pic:spPr>
                </pic:pic>
              </a:graphicData>
            </a:graphic>
          </wp:inline>
        </w:drawing>
      </w: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E13592" w:rsidRPr="00E13592">
        <w:rPr>
          <w:szCs w:val="20"/>
          <w:lang w:val="en-US"/>
        </w:rPr>
        <w:t>PROFINET I/O is now available for</w:t>
      </w:r>
      <w:r w:rsidR="00E13592" w:rsidRPr="000B3CD8">
        <w:rPr>
          <w:lang w:val="en-US"/>
        </w:rPr>
        <w:t xml:space="preserve"> </w:t>
      </w:r>
      <w:r w:rsidR="00E13592" w:rsidRPr="00E13592">
        <w:rPr>
          <w:szCs w:val="20"/>
          <w:lang w:val="en-US"/>
        </w:rPr>
        <w:t>OPTIFLUX, WATERFLUX and TIDALFLUX electromagn</w:t>
      </w:r>
      <w:r w:rsidR="00E13592">
        <w:rPr>
          <w:szCs w:val="20"/>
          <w:lang w:val="en-US"/>
        </w:rPr>
        <w:t>et</w:t>
      </w:r>
      <w:r w:rsidR="00E13592" w:rsidRPr="00E13592">
        <w:rPr>
          <w:szCs w:val="20"/>
          <w:lang w:val="en-US"/>
        </w:rPr>
        <w:t>ic flowmeters with IFC 300 signal converter</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lastRenderedPageBreak/>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B749A" w:rsidP="00F9628E">
      <w:pPr>
        <w:adjustRightInd w:val="0"/>
        <w:spacing w:line="288" w:lineRule="auto"/>
        <w:rPr>
          <w:rFonts w:ascii="Arial" w:hAnsi="Arial" w:cs="Arial"/>
          <w:sz w:val="20"/>
          <w:szCs w:val="20"/>
          <w:lang w:val="fr-FR"/>
        </w:rPr>
      </w:pPr>
      <w:r>
        <w:fldChar w:fldCharType="begin"/>
      </w:r>
      <w:r w:rsidRPr="000B3CD8">
        <w:rPr>
          <w:lang w:val="en-US"/>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B749A"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9A" w:rsidRDefault="000B749A">
      <w:r>
        <w:separator/>
      </w:r>
    </w:p>
  </w:endnote>
  <w:endnote w:type="continuationSeparator" w:id="0">
    <w:p w:rsidR="000B749A" w:rsidRDefault="000B749A">
      <w:r>
        <w:continuationSeparator/>
      </w:r>
    </w:p>
  </w:endnote>
  <w:endnote w:type="continuationNotice" w:id="1">
    <w:p w:rsidR="000B749A" w:rsidRDefault="000B7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B3CD8">
            <w:rPr>
              <w:noProof/>
            </w:rPr>
            <w:t>2</w:t>
          </w:r>
          <w:r>
            <w:fldChar w:fldCharType="end"/>
          </w:r>
          <w:r>
            <w:rPr>
              <w:rStyle w:val="Seitenzahl"/>
              <w:rFonts w:cs="Arial"/>
              <w:sz w:val="16"/>
              <w:szCs w:val="16"/>
            </w:rPr>
            <w:t>/</w:t>
          </w:r>
          <w:fldSimple w:instr=" NUMPAGES ">
            <w:r w:rsidR="000B3CD8">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9A" w:rsidRDefault="000B749A">
      <w:r>
        <w:separator/>
      </w:r>
    </w:p>
  </w:footnote>
  <w:footnote w:type="continuationSeparator" w:id="0">
    <w:p w:rsidR="000B749A" w:rsidRDefault="000B749A">
      <w:r>
        <w:continuationSeparator/>
      </w:r>
    </w:p>
  </w:footnote>
  <w:footnote w:type="continuationNotice" w:id="1">
    <w:p w:rsidR="000B749A" w:rsidRDefault="000B74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1">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2">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2"/>
  </w:num>
  <w:num w:numId="4">
    <w:abstractNumId w:val="13"/>
  </w:num>
  <w:num w:numId="5">
    <w:abstractNumId w:val="6"/>
  </w:num>
  <w:num w:numId="6">
    <w:abstractNumId w:val="18"/>
  </w:num>
  <w:num w:numId="7">
    <w:abstractNumId w:val="21"/>
  </w:num>
  <w:num w:numId="8">
    <w:abstractNumId w:val="16"/>
  </w:num>
  <w:num w:numId="9">
    <w:abstractNumId w:val="17"/>
  </w:num>
  <w:num w:numId="10">
    <w:abstractNumId w:val="9"/>
  </w:num>
  <w:num w:numId="11">
    <w:abstractNumId w:val="11"/>
  </w:num>
  <w:num w:numId="12">
    <w:abstractNumId w:val="23"/>
  </w:num>
  <w:num w:numId="13">
    <w:abstractNumId w:val="5"/>
  </w:num>
  <w:num w:numId="14">
    <w:abstractNumId w:val="0"/>
  </w:num>
  <w:num w:numId="15">
    <w:abstractNumId w:val="14"/>
  </w:num>
  <w:num w:numId="16">
    <w:abstractNumId w:val="10"/>
  </w:num>
  <w:num w:numId="17">
    <w:abstractNumId w:val="8"/>
  </w:num>
  <w:num w:numId="18">
    <w:abstractNumId w:val="1"/>
  </w:num>
  <w:num w:numId="19">
    <w:abstractNumId w:val="22"/>
  </w:num>
  <w:num w:numId="20">
    <w:abstractNumId w:val="20"/>
  </w:num>
  <w:num w:numId="21">
    <w:abstractNumId w:val="15"/>
  </w:num>
  <w:num w:numId="22">
    <w:abstractNumId w:val="7"/>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6C61"/>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3CD8"/>
    <w:rsid w:val="000B71E7"/>
    <w:rsid w:val="000B749A"/>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011C"/>
    <w:rsid w:val="006325C4"/>
    <w:rsid w:val="0063362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7745A"/>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79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291B0-394B-4D3D-B122-8240B315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345</Words>
  <Characters>2175</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2515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31</cp:revision>
  <cp:lastPrinted>2017-05-15T08:37:00Z</cp:lastPrinted>
  <dcterms:created xsi:type="dcterms:W3CDTF">2017-05-15T08:33:00Z</dcterms:created>
  <dcterms:modified xsi:type="dcterms:W3CDTF">2019-01-07T16:28:00Z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