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7E3B51" w:rsidP="0079253A">
      <w:pPr>
        <w:adjustRightInd w:val="0"/>
        <w:spacing w:line="288" w:lineRule="auto"/>
        <w:ind w:right="495"/>
        <w:rPr>
          <w:rFonts w:ascii="Arial" w:hAnsi="Arial" w:cs="Arial"/>
          <w:b/>
          <w:color w:val="auto"/>
          <w:sz w:val="32"/>
          <w:szCs w:val="32"/>
        </w:rPr>
      </w:pPr>
      <w:r w:rsidRPr="007E3B51">
        <w:rPr>
          <w:rFonts w:ascii="Arial" w:hAnsi="Arial" w:cs="Arial"/>
          <w:b/>
          <w:color w:val="auto"/>
          <w:sz w:val="32"/>
          <w:szCs w:val="32"/>
        </w:rPr>
        <w:t>PROFINET I</w:t>
      </w:r>
      <w:r w:rsidR="003F6BD2">
        <w:rPr>
          <w:rFonts w:ascii="Arial" w:hAnsi="Arial" w:cs="Arial"/>
          <w:b/>
          <w:color w:val="auto"/>
          <w:sz w:val="32"/>
          <w:szCs w:val="32"/>
        </w:rPr>
        <w:t>/</w:t>
      </w:r>
      <w:r w:rsidRPr="007E3B51">
        <w:rPr>
          <w:rFonts w:ascii="Arial" w:hAnsi="Arial" w:cs="Arial"/>
          <w:b/>
          <w:color w:val="auto"/>
          <w:sz w:val="32"/>
          <w:szCs w:val="32"/>
        </w:rPr>
        <w:t>O als Option für magnetisch-induktive Durchflussmessgeräte</w:t>
      </w:r>
    </w:p>
    <w:p w:rsidR="007E3B51" w:rsidRPr="007E3B51" w:rsidRDefault="007E3B51" w:rsidP="007E3B51">
      <w:pPr>
        <w:pStyle w:val="StandardWeb"/>
        <w:numPr>
          <w:ilvl w:val="0"/>
          <w:numId w:val="15"/>
        </w:numPr>
        <w:tabs>
          <w:tab w:val="left" w:pos="7830"/>
        </w:tabs>
        <w:spacing w:line="288" w:lineRule="auto"/>
        <w:ind w:right="743"/>
        <w:rPr>
          <w:rFonts w:ascii="Arial" w:hAnsi="Arial" w:cs="Arial"/>
          <w:sz w:val="20"/>
          <w:szCs w:val="20"/>
        </w:rPr>
      </w:pPr>
      <w:r w:rsidRPr="007E3B51">
        <w:rPr>
          <w:rFonts w:ascii="Arial" w:hAnsi="Arial" w:cs="Arial"/>
          <w:sz w:val="20"/>
          <w:szCs w:val="20"/>
        </w:rPr>
        <w:t>Industrial-Ethernet-Kommunikation für OPTIFLUX, WATERFLUX und TIDALFLUX Durchflussmessgeräte</w:t>
      </w:r>
    </w:p>
    <w:p w:rsidR="007E3B51" w:rsidRPr="007E3B51" w:rsidRDefault="007E3B51" w:rsidP="007E3B51">
      <w:pPr>
        <w:pStyle w:val="StandardWeb"/>
        <w:numPr>
          <w:ilvl w:val="0"/>
          <w:numId w:val="15"/>
        </w:numPr>
        <w:tabs>
          <w:tab w:val="left" w:pos="7830"/>
        </w:tabs>
        <w:spacing w:line="288" w:lineRule="auto"/>
        <w:ind w:right="743"/>
        <w:rPr>
          <w:rFonts w:ascii="Arial" w:hAnsi="Arial" w:cs="Arial"/>
          <w:sz w:val="20"/>
          <w:szCs w:val="20"/>
        </w:rPr>
      </w:pPr>
      <w:r w:rsidRPr="007E3B51">
        <w:rPr>
          <w:rFonts w:ascii="Arial" w:hAnsi="Arial" w:cs="Arial"/>
          <w:sz w:val="20"/>
          <w:szCs w:val="20"/>
        </w:rPr>
        <w:t>Mess-, Prozess- und Diagnosedaten</w:t>
      </w:r>
      <w:r>
        <w:rPr>
          <w:rFonts w:ascii="Arial" w:hAnsi="Arial" w:cs="Arial"/>
          <w:sz w:val="20"/>
          <w:szCs w:val="20"/>
        </w:rPr>
        <w:t xml:space="preserve"> </w:t>
      </w:r>
      <w:r w:rsidRPr="007E3B51">
        <w:rPr>
          <w:rFonts w:ascii="Arial" w:hAnsi="Arial" w:cs="Arial"/>
          <w:sz w:val="20"/>
          <w:szCs w:val="20"/>
        </w:rPr>
        <w:t>über einen Kommunikationskanal</w:t>
      </w:r>
    </w:p>
    <w:p w:rsidR="007E3B51" w:rsidRPr="007E3B51" w:rsidRDefault="007E3B51" w:rsidP="007E3B51">
      <w:pPr>
        <w:pStyle w:val="StandardWeb"/>
        <w:numPr>
          <w:ilvl w:val="0"/>
          <w:numId w:val="15"/>
        </w:numPr>
        <w:tabs>
          <w:tab w:val="left" w:pos="7830"/>
        </w:tabs>
        <w:spacing w:line="288" w:lineRule="auto"/>
        <w:ind w:right="743"/>
        <w:rPr>
          <w:rFonts w:ascii="Arial" w:hAnsi="Arial" w:cs="Arial"/>
          <w:sz w:val="20"/>
          <w:szCs w:val="20"/>
        </w:rPr>
      </w:pPr>
      <w:r w:rsidRPr="007E3B51">
        <w:rPr>
          <w:rFonts w:ascii="Arial" w:hAnsi="Arial" w:cs="Arial"/>
          <w:sz w:val="20"/>
          <w:szCs w:val="20"/>
        </w:rPr>
        <w:t>Direkte Integration reduziert Kosten für Verdrahtung und Verbindungshardware</w:t>
      </w:r>
    </w:p>
    <w:p w:rsidR="007E3B51" w:rsidRPr="00DC2573" w:rsidRDefault="007E3B51" w:rsidP="007E3B51">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7E3B51">
        <w:rPr>
          <w:rFonts w:ascii="Arial" w:hAnsi="Arial" w:cs="Arial"/>
          <w:sz w:val="20"/>
          <w:szCs w:val="20"/>
        </w:rPr>
        <w:t>Whitepaper „</w:t>
      </w:r>
      <w:proofErr w:type="spellStart"/>
      <w:r w:rsidRPr="007E3B51">
        <w:rPr>
          <w:rFonts w:ascii="Arial" w:hAnsi="Arial" w:cs="Arial"/>
          <w:sz w:val="20"/>
          <w:szCs w:val="20"/>
        </w:rPr>
        <w:t>Ethernetbasierte</w:t>
      </w:r>
      <w:proofErr w:type="spellEnd"/>
      <w:r w:rsidRPr="007E3B51">
        <w:rPr>
          <w:rFonts w:ascii="Arial" w:hAnsi="Arial" w:cs="Arial"/>
          <w:sz w:val="20"/>
          <w:szCs w:val="20"/>
        </w:rPr>
        <w:t xml:space="preserve"> PROFINET-Einbindung von Feldgeräten in der Wasserwirtschaft‟ zum freien Download</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7E3B51" w:rsidRDefault="003C0626" w:rsidP="007E3B51">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586870">
        <w:rPr>
          <w:rFonts w:ascii="Arial" w:hAnsi="Arial" w:cs="Arial"/>
          <w:color w:val="auto"/>
          <w:sz w:val="20"/>
          <w:szCs w:val="20"/>
        </w:rPr>
        <w:t>7</w:t>
      </w:r>
      <w:r w:rsidR="00916397">
        <w:rPr>
          <w:rFonts w:ascii="Arial" w:hAnsi="Arial" w:cs="Arial"/>
          <w:color w:val="auto"/>
          <w:sz w:val="20"/>
          <w:szCs w:val="20"/>
        </w:rPr>
        <w:t xml:space="preserve">. </w:t>
      </w:r>
      <w:r w:rsidR="00586870">
        <w:rPr>
          <w:rFonts w:ascii="Arial" w:hAnsi="Arial" w:cs="Arial"/>
          <w:color w:val="auto"/>
          <w:sz w:val="20"/>
          <w:szCs w:val="20"/>
        </w:rPr>
        <w:t>Dezember</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7E3B51" w:rsidRPr="007E3B51">
        <w:rPr>
          <w:rFonts w:ascii="Arial" w:hAnsi="Arial" w:cs="Arial"/>
          <w:sz w:val="20"/>
          <w:szCs w:val="20"/>
        </w:rPr>
        <w:t>PROFINET I</w:t>
      </w:r>
      <w:r w:rsidR="003F6BD2">
        <w:rPr>
          <w:rFonts w:ascii="Arial" w:hAnsi="Arial" w:cs="Arial"/>
          <w:sz w:val="20"/>
          <w:szCs w:val="20"/>
        </w:rPr>
        <w:t>/</w:t>
      </w:r>
      <w:r w:rsidR="007E3B51" w:rsidRPr="007E3B51">
        <w:rPr>
          <w:rFonts w:ascii="Arial" w:hAnsi="Arial" w:cs="Arial"/>
          <w:sz w:val="20"/>
          <w:szCs w:val="20"/>
        </w:rPr>
        <w:t>O</w:t>
      </w:r>
      <w:r w:rsidR="007E3B51">
        <w:rPr>
          <w:rFonts w:ascii="Arial" w:hAnsi="Arial" w:cs="Arial"/>
          <w:sz w:val="20"/>
          <w:szCs w:val="20"/>
        </w:rPr>
        <w:t xml:space="preserve"> ist ab sofort </w:t>
      </w:r>
      <w:r w:rsidR="007E3B51" w:rsidRPr="007E3B51">
        <w:rPr>
          <w:rFonts w:ascii="Arial" w:hAnsi="Arial" w:cs="Arial"/>
          <w:sz w:val="20"/>
          <w:szCs w:val="20"/>
        </w:rPr>
        <w:t xml:space="preserve">als neue Industrial-Ethernet-Kommunikationsoption </w:t>
      </w:r>
      <w:r w:rsidR="007E3B51">
        <w:rPr>
          <w:rFonts w:ascii="Arial" w:hAnsi="Arial" w:cs="Arial"/>
          <w:sz w:val="20"/>
          <w:szCs w:val="20"/>
        </w:rPr>
        <w:t>f</w:t>
      </w:r>
      <w:r w:rsidR="007E3B51" w:rsidRPr="007E3B51">
        <w:rPr>
          <w:rFonts w:ascii="Arial" w:hAnsi="Arial" w:cs="Arial"/>
          <w:sz w:val="20"/>
          <w:szCs w:val="20"/>
        </w:rPr>
        <w:t>ür magnetisch-induktive Durchflussmessgeräte mi</w:t>
      </w:r>
      <w:r w:rsidR="007E3B51">
        <w:rPr>
          <w:rFonts w:ascii="Arial" w:hAnsi="Arial" w:cs="Arial"/>
          <w:sz w:val="20"/>
          <w:szCs w:val="20"/>
        </w:rPr>
        <w:t>t IFC 300 Messumformer verfügbar</w:t>
      </w:r>
      <w:r w:rsidR="007E3B51" w:rsidRPr="007E3B51">
        <w:rPr>
          <w:rFonts w:ascii="Arial" w:hAnsi="Arial" w:cs="Arial"/>
          <w:sz w:val="20"/>
          <w:szCs w:val="20"/>
        </w:rPr>
        <w:t xml:space="preserve">. </w:t>
      </w:r>
      <w:r w:rsidR="00EA2E13" w:rsidRPr="00EA2E13">
        <w:rPr>
          <w:rFonts w:ascii="Arial" w:hAnsi="Arial" w:cs="Arial"/>
          <w:sz w:val="20"/>
          <w:szCs w:val="20"/>
        </w:rPr>
        <w:t>Dies beinhaltet alle kompakten (C) und getrennten (F) Ausführungen der OPTIFLUX x300 Serie (außer OPTIFLUX 7000) sowie WATERFLUX 3300 und TIDALFLUX 2300.</w:t>
      </w:r>
      <w:bookmarkStart w:id="0" w:name="_GoBack"/>
      <w:bookmarkEnd w:id="0"/>
    </w:p>
    <w:p w:rsidR="007E3B51" w:rsidRPr="007E3B51" w:rsidRDefault="007E3B51" w:rsidP="007E3B51">
      <w:pPr>
        <w:adjustRightInd w:val="0"/>
        <w:spacing w:line="288" w:lineRule="auto"/>
        <w:ind w:right="495"/>
        <w:jc w:val="both"/>
        <w:rPr>
          <w:rFonts w:ascii="Arial" w:hAnsi="Arial" w:cs="Arial"/>
          <w:sz w:val="20"/>
          <w:szCs w:val="20"/>
        </w:rPr>
      </w:pPr>
    </w:p>
    <w:p w:rsidR="007E3B51" w:rsidRDefault="007E3B51" w:rsidP="007E3B51">
      <w:pPr>
        <w:adjustRightInd w:val="0"/>
        <w:spacing w:line="288" w:lineRule="auto"/>
        <w:ind w:right="495"/>
        <w:jc w:val="both"/>
        <w:rPr>
          <w:rFonts w:ascii="Arial" w:hAnsi="Arial" w:cs="Arial"/>
          <w:sz w:val="20"/>
          <w:szCs w:val="20"/>
        </w:rPr>
      </w:pPr>
      <w:r w:rsidRPr="007E3B51">
        <w:rPr>
          <w:rFonts w:ascii="Arial" w:hAnsi="Arial" w:cs="Arial"/>
          <w:sz w:val="20"/>
          <w:szCs w:val="20"/>
        </w:rPr>
        <w:t>Mit PROFINET I</w:t>
      </w:r>
      <w:r w:rsidR="003F6BD2">
        <w:rPr>
          <w:rFonts w:ascii="Arial" w:hAnsi="Arial" w:cs="Arial"/>
          <w:sz w:val="20"/>
          <w:szCs w:val="20"/>
        </w:rPr>
        <w:t>/</w:t>
      </w:r>
      <w:r w:rsidRPr="007E3B51">
        <w:rPr>
          <w:rFonts w:ascii="Arial" w:hAnsi="Arial" w:cs="Arial"/>
          <w:sz w:val="20"/>
          <w:szCs w:val="20"/>
        </w:rPr>
        <w:t xml:space="preserve">O werden alle Mess-, Prozess- und Diagnosedaten der Durchflussmessgeräte in Echtzeit über einen einzigen Kommunikationskanal bereitgestellt: dies ermöglicht eine direkte und einfache Integration neuer Messgeräte, eine direkte Erkennung fehlerhafter Geräte sowie bidirektionale Kommunikation und Parametrierung. Ein weiterer Vorteil sind reduzierte Kosten für die Verdrahtung sowie für die Verbindungshardware, da PROFINET auf standardisierte und homogenisierte Ethernet-Infrastruktur zurückgreift </w:t>
      </w:r>
      <w:r>
        <w:rPr>
          <w:rFonts w:ascii="Arial" w:hAnsi="Arial" w:cs="Arial"/>
          <w:sz w:val="20"/>
          <w:szCs w:val="20"/>
        </w:rPr>
        <w:t xml:space="preserve">– </w:t>
      </w:r>
      <w:r w:rsidRPr="007E3B51">
        <w:rPr>
          <w:rFonts w:ascii="Arial" w:hAnsi="Arial" w:cs="Arial"/>
          <w:sz w:val="20"/>
          <w:szCs w:val="20"/>
        </w:rPr>
        <w:t>vom Gerät bis in die Leitwarte.</w:t>
      </w:r>
    </w:p>
    <w:p w:rsidR="007E3B51" w:rsidRPr="007E3B51" w:rsidRDefault="007E3B51" w:rsidP="007E3B51">
      <w:pPr>
        <w:adjustRightInd w:val="0"/>
        <w:spacing w:line="288" w:lineRule="auto"/>
        <w:ind w:right="495"/>
        <w:jc w:val="both"/>
        <w:rPr>
          <w:rFonts w:ascii="Arial" w:hAnsi="Arial" w:cs="Arial"/>
          <w:sz w:val="20"/>
          <w:szCs w:val="20"/>
        </w:rPr>
      </w:pPr>
    </w:p>
    <w:p w:rsidR="004B0E74" w:rsidRDefault="007E3B51" w:rsidP="007E3B51">
      <w:pPr>
        <w:adjustRightInd w:val="0"/>
        <w:spacing w:line="288" w:lineRule="auto"/>
        <w:ind w:right="495"/>
        <w:jc w:val="both"/>
        <w:rPr>
          <w:rFonts w:ascii="Arial" w:hAnsi="Arial" w:cs="Arial"/>
          <w:sz w:val="20"/>
          <w:szCs w:val="20"/>
        </w:rPr>
      </w:pPr>
      <w:r w:rsidRPr="007E3B51">
        <w:rPr>
          <w:rFonts w:ascii="Arial" w:hAnsi="Arial" w:cs="Arial"/>
          <w:sz w:val="20"/>
          <w:szCs w:val="20"/>
        </w:rPr>
        <w:t>KROHNE hat in Zusammenarbeit mit PHOENIX CONTACT das Whitepaper „</w:t>
      </w:r>
      <w:proofErr w:type="spellStart"/>
      <w:r w:rsidRPr="007E3B51">
        <w:rPr>
          <w:rFonts w:ascii="Arial" w:hAnsi="Arial" w:cs="Arial"/>
          <w:sz w:val="20"/>
          <w:szCs w:val="20"/>
        </w:rPr>
        <w:t>Ethernetbasierte</w:t>
      </w:r>
      <w:proofErr w:type="spellEnd"/>
      <w:r w:rsidRPr="007E3B51">
        <w:rPr>
          <w:rFonts w:ascii="Arial" w:hAnsi="Arial" w:cs="Arial"/>
          <w:sz w:val="20"/>
          <w:szCs w:val="20"/>
        </w:rPr>
        <w:t xml:space="preserve"> PROFINET-Einbindung von Feldgeräten in der Wasserwirtschaft‟ erstellt und veröffentlicht.</w:t>
      </w:r>
      <w:r>
        <w:rPr>
          <w:rFonts w:ascii="Arial" w:hAnsi="Arial" w:cs="Arial"/>
          <w:sz w:val="20"/>
          <w:szCs w:val="20"/>
        </w:rPr>
        <w:t xml:space="preserve"> Das frei</w:t>
      </w:r>
      <w:r w:rsidRPr="007E3B51">
        <w:rPr>
          <w:rFonts w:ascii="Arial" w:hAnsi="Arial" w:cs="Arial"/>
          <w:sz w:val="20"/>
          <w:szCs w:val="20"/>
        </w:rPr>
        <w:t xml:space="preserve"> downloadbare Whitepaper erläutert den Hintergrund und die Vorteile von PROFINET im Detail und stellt verschiedene </w:t>
      </w:r>
      <w:proofErr w:type="spellStart"/>
      <w:r w:rsidRPr="007E3B51">
        <w:rPr>
          <w:rFonts w:ascii="Arial" w:hAnsi="Arial" w:cs="Arial"/>
          <w:sz w:val="20"/>
          <w:szCs w:val="20"/>
        </w:rPr>
        <w:t>Netzwerktopologien</w:t>
      </w:r>
      <w:proofErr w:type="spellEnd"/>
      <w:r w:rsidRPr="007E3B51">
        <w:rPr>
          <w:rFonts w:ascii="Arial" w:hAnsi="Arial" w:cs="Arial"/>
          <w:sz w:val="20"/>
          <w:szCs w:val="20"/>
        </w:rPr>
        <w:t xml:space="preserve"> vor. Interessierte </w:t>
      </w:r>
      <w:r>
        <w:rPr>
          <w:rFonts w:ascii="Arial" w:hAnsi="Arial" w:cs="Arial"/>
          <w:sz w:val="20"/>
          <w:szCs w:val="20"/>
        </w:rPr>
        <w:t>finden</w:t>
      </w:r>
      <w:r w:rsidRPr="007E3B51">
        <w:rPr>
          <w:rFonts w:ascii="Arial" w:hAnsi="Arial" w:cs="Arial"/>
          <w:sz w:val="20"/>
          <w:szCs w:val="20"/>
        </w:rPr>
        <w:t xml:space="preserve"> das Dokument unter folgendem Link: </w:t>
      </w:r>
      <w:hyperlink r:id="rId9" w:history="1">
        <w:r w:rsidRPr="000A7D59">
          <w:rPr>
            <w:rStyle w:val="Hyperlink"/>
            <w:rFonts w:ascii="Arial" w:hAnsi="Arial" w:cs="Arial"/>
            <w:sz w:val="20"/>
            <w:szCs w:val="20"/>
          </w:rPr>
          <w:t>https://krohne.link/2r-mn</w:t>
        </w:r>
      </w:hyperlink>
    </w:p>
    <w:p w:rsidR="007E3B51" w:rsidRDefault="007E3B51" w:rsidP="007E3B51">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605B02" w:rsidRDefault="007E3B51" w:rsidP="00DC2573">
      <w:pPr>
        <w:spacing w:line="288" w:lineRule="auto"/>
        <w:ind w:right="537"/>
        <w:jc w:val="both"/>
        <w:rPr>
          <w:rFonts w:ascii="Arial" w:hAnsi="Arial" w:cs="Arial"/>
          <w:b/>
          <w:sz w:val="20"/>
          <w:szCs w:val="20"/>
        </w:rPr>
      </w:pPr>
      <w:r>
        <w:rPr>
          <w:noProof/>
          <w:szCs w:val="20"/>
        </w:rPr>
        <w:drawing>
          <wp:inline distT="0" distB="0" distL="0" distR="0" wp14:anchorId="3D024739" wp14:editId="1B733CF6">
            <wp:extent cx="1761066" cy="1178843"/>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66715" cy="1182625"/>
                    </a:xfrm>
                    <a:prstGeom prst="rect">
                      <a:avLst/>
                    </a:prstGeom>
                    <a:noFill/>
                    <a:ln>
                      <a:noFill/>
                    </a:ln>
                  </pic:spPr>
                </pic:pic>
              </a:graphicData>
            </a:graphic>
          </wp:inline>
        </w:drawing>
      </w:r>
    </w:p>
    <w:p w:rsidR="00EF7053" w:rsidRDefault="001110A1" w:rsidP="00DC2573">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7E3B51" w:rsidRPr="007E3B51">
        <w:rPr>
          <w:rFonts w:ascii="Arial" w:hAnsi="Arial" w:cs="Arial"/>
          <w:sz w:val="20"/>
          <w:szCs w:val="20"/>
        </w:rPr>
        <w:t>PROFINET I</w:t>
      </w:r>
      <w:r w:rsidR="003F6BD2">
        <w:rPr>
          <w:rFonts w:ascii="Arial" w:hAnsi="Arial" w:cs="Arial"/>
          <w:sz w:val="20"/>
          <w:szCs w:val="20"/>
        </w:rPr>
        <w:t>/</w:t>
      </w:r>
      <w:r w:rsidR="007E3B51" w:rsidRPr="007E3B51">
        <w:rPr>
          <w:rFonts w:ascii="Arial" w:hAnsi="Arial" w:cs="Arial"/>
          <w:sz w:val="20"/>
          <w:szCs w:val="20"/>
        </w:rPr>
        <w:t xml:space="preserve">O jetzt als Option für OPTIFLUX, WATERFLUX und TIDALFLUX mit IFC 300 Messumformer </w:t>
      </w:r>
      <w:r w:rsidR="007E3B51">
        <w:rPr>
          <w:rFonts w:ascii="Arial" w:hAnsi="Arial" w:cs="Arial"/>
          <w:sz w:val="20"/>
          <w:szCs w:val="20"/>
        </w:rPr>
        <w:t>verfügbar</w:t>
      </w:r>
    </w:p>
    <w:p w:rsidR="00EF7053" w:rsidRPr="00EF7053" w:rsidRDefault="00EF7053" w:rsidP="00EF705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lastRenderedPageBreak/>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Ludwig-Krohne-Str.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682FED" w:rsidP="00B115CE">
      <w:pPr>
        <w:adjustRightInd w:val="0"/>
        <w:spacing w:line="288" w:lineRule="auto"/>
        <w:rPr>
          <w:rFonts w:ascii="Arial" w:hAnsi="Arial" w:cs="Arial"/>
          <w:sz w:val="20"/>
          <w:szCs w:val="20"/>
        </w:rPr>
      </w:pPr>
      <w:hyperlink r:id="rId11"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682FED" w:rsidP="00A02ABC">
      <w:pPr>
        <w:adjustRightInd w:val="0"/>
        <w:spacing w:line="288" w:lineRule="auto"/>
        <w:rPr>
          <w:rFonts w:ascii="Arial" w:hAnsi="Arial" w:cs="Arial"/>
          <w:sz w:val="20"/>
          <w:szCs w:val="20"/>
          <w:lang w:val="pt-BR"/>
        </w:rPr>
      </w:pPr>
      <w:hyperlink r:id="rId12"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FED" w:rsidRDefault="00682FED">
      <w:r>
        <w:separator/>
      </w:r>
    </w:p>
  </w:endnote>
  <w:endnote w:type="continuationSeparator" w:id="0">
    <w:p w:rsidR="00682FED" w:rsidRDefault="00682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A2E13">
            <w:rPr>
              <w:noProof/>
            </w:rPr>
            <w:t>1</w:t>
          </w:r>
          <w:r>
            <w:fldChar w:fldCharType="end"/>
          </w:r>
          <w:r>
            <w:rPr>
              <w:rStyle w:val="Seitenzahl"/>
              <w:rFonts w:cs="Arial"/>
              <w:sz w:val="16"/>
              <w:szCs w:val="16"/>
            </w:rPr>
            <w:t>/</w:t>
          </w:r>
          <w:r w:rsidR="00682FED">
            <w:fldChar w:fldCharType="begin"/>
          </w:r>
          <w:r w:rsidR="00682FED">
            <w:instrText xml:space="preserve"> NUMPAGES </w:instrText>
          </w:r>
          <w:r w:rsidR="00682FED">
            <w:fldChar w:fldCharType="separate"/>
          </w:r>
          <w:r w:rsidR="00EA2E13">
            <w:rPr>
              <w:noProof/>
            </w:rPr>
            <w:t>2</w:t>
          </w:r>
          <w:r w:rsidR="00682FED">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FED" w:rsidRDefault="00682FED">
      <w:r>
        <w:separator/>
      </w:r>
    </w:p>
  </w:footnote>
  <w:footnote w:type="continuationSeparator" w:id="0">
    <w:p w:rsidR="00682FED" w:rsidRDefault="00682F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2FED"/>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13"/>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krohne.link/2r-m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6DE9C-22A2-4875-BAB6-340949713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364</Words>
  <Characters>2294</Characters>
  <Application>Microsoft Office Word</Application>
  <DocSecurity>0</DocSecurity>
  <Lines>19</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2653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15</cp:revision>
  <cp:lastPrinted>2017-11-14T13:18:00Z</cp:lastPrinted>
  <dcterms:created xsi:type="dcterms:W3CDTF">2017-09-06T05:22:00Z</dcterms:created>
  <dcterms:modified xsi:type="dcterms:W3CDTF">2019-01-07T16:28:00Z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