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A61B40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>Opción</w:t>
      </w:r>
      <w:proofErr w:type="spellEnd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PROFINET I/O para </w:t>
      </w:r>
      <w:proofErr w:type="spellStart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>caudalímetros</w:t>
      </w:r>
      <w:proofErr w:type="spellEnd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A61B40">
        <w:rPr>
          <w:rFonts w:ascii="Arial" w:hAnsi="Arial" w:cs="Arial"/>
          <w:b/>
          <w:color w:val="auto"/>
          <w:sz w:val="28"/>
          <w:szCs w:val="32"/>
          <w:lang w:val="en-US"/>
        </w:rPr>
        <w:t>electromagnéticos</w:t>
      </w:r>
      <w:proofErr w:type="spellEnd"/>
    </w:p>
    <w:p w:rsidR="00A61B40" w:rsidRPr="00A61B40" w:rsidRDefault="00A61B40" w:rsidP="00A61B4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Comunicación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vía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Ethernet Industrial para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caudalímetros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OPTIFLUX, WATERFLUX y TIDALFLUX</w:t>
      </w:r>
    </w:p>
    <w:p w:rsidR="00A61B40" w:rsidRPr="00A61B40" w:rsidRDefault="00A61B40" w:rsidP="00A61B4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Información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sobre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medida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proceso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diagnóstico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través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un solo canal de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comunicación</w:t>
      </w:r>
      <w:proofErr w:type="spellEnd"/>
    </w:p>
    <w:p w:rsidR="00A61B40" w:rsidRPr="00A61B40" w:rsidRDefault="00A61B40" w:rsidP="00A61B4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Integración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directa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reducción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costes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cableado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conexión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hardware</w:t>
      </w:r>
    </w:p>
    <w:p w:rsidR="00A61B40" w:rsidRPr="00466B7A" w:rsidRDefault="00A61B40" w:rsidP="00A61B4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A61B40">
        <w:rPr>
          <w:rFonts w:ascii="Arial" w:hAnsi="Arial" w:cs="Arial"/>
          <w:sz w:val="20"/>
          <w:szCs w:val="20"/>
          <w:lang w:val="en-US"/>
        </w:rPr>
        <w:t xml:space="preserve">Whitepaper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gratuito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“Ethernet-Based PROFINET Integration of Field Instruments in the Water and Waste Water Industry” (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Integración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PROFINET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basado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Ethernet de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equipos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 campo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industria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del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agua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aguas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sz w:val="20"/>
          <w:szCs w:val="20"/>
          <w:lang w:val="en-US"/>
        </w:rPr>
        <w:t>residuales</w:t>
      </w:r>
      <w:proofErr w:type="spellEnd"/>
      <w:r w:rsidRPr="00A61B40">
        <w:rPr>
          <w:rFonts w:ascii="Arial" w:hAnsi="Arial" w:cs="Arial"/>
          <w:sz w:val="20"/>
          <w:szCs w:val="20"/>
          <w:lang w:val="en-US"/>
        </w:rPr>
        <w:t>)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A61B40" w:rsidRDefault="00B00804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3106BA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106BA">
        <w:rPr>
          <w:rFonts w:ascii="Arial" w:hAnsi="Arial" w:cs="Arial"/>
          <w:color w:val="auto"/>
          <w:sz w:val="20"/>
          <w:szCs w:val="20"/>
          <w:lang w:val="en-US"/>
        </w:rPr>
        <w:t>diciembre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Como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opción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vía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Ethernet Industrial, PROFINET I/O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electromagnéticos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equipados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IFC 300. </w:t>
      </w:r>
      <w:proofErr w:type="gramStart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 xml:space="preserve">Se </w:t>
      </w:r>
      <w:proofErr w:type="spellStart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>compactas</w:t>
      </w:r>
      <w:proofErr w:type="spellEnd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 xml:space="preserve"> (C) y de campo (F) de la </w:t>
      </w:r>
      <w:proofErr w:type="spellStart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 xml:space="preserve"> OPTIFLUX x300 (</w:t>
      </w:r>
      <w:proofErr w:type="spellStart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>excepto</w:t>
      </w:r>
      <w:proofErr w:type="spellEnd"/>
      <w:r w:rsidR="006E609F" w:rsidRPr="006E609F">
        <w:rPr>
          <w:rFonts w:ascii="Arial" w:hAnsi="Arial" w:cs="Arial"/>
          <w:color w:val="auto"/>
          <w:sz w:val="20"/>
          <w:szCs w:val="20"/>
          <w:lang w:val="en-US"/>
        </w:rPr>
        <w:t xml:space="preserve"> OPTIFLUX 7000), WATERFLUX 3300 y TIDALFLUX 2300.</w:t>
      </w:r>
      <w:bookmarkStart w:id="0" w:name="_GoBack"/>
      <w:bookmarkEnd w:id="0"/>
      <w:proofErr w:type="gramEnd"/>
    </w:p>
    <w:p w:rsidR="00A61B40" w:rsidRPr="00A61B40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61B40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Con PROFINET I/O,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toda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información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real 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solo canal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permitiendo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integración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directa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práctica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identificación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directa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defectuosos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bidireccional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parametrización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Entre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otras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ventajas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cabe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mencionar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reducción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costes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cableado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conexión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hardware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que PROFINET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infraestructura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Ethernet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estandarizada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homogénea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campo hasta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sala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control.</w:t>
      </w:r>
      <w:proofErr w:type="gramEnd"/>
    </w:p>
    <w:p w:rsidR="00A61B40" w:rsidRPr="00A61B40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61B40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colaboración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con PHOENIX CONTACT, KROHNE ha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publicado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el whitepaper “Ethernet-Based PROFINET Integration of Field Instruments in the Water and Waste Water Industry” (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Integración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PROFINET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basado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Ethernet de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campo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) Este whitepaper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gratuito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describe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detalladamente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antecedentes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PROFINET y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ventajas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ilustrando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topologías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red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diferentes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descargarse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61B40">
        <w:rPr>
          <w:rFonts w:ascii="Arial" w:hAnsi="Arial" w:cs="Arial"/>
          <w:color w:val="auto"/>
          <w:sz w:val="20"/>
          <w:szCs w:val="20"/>
          <w:lang w:val="en-US"/>
        </w:rPr>
        <w:t>aquí</w:t>
      </w:r>
      <w:proofErr w:type="spellEnd"/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hyperlink r:id="rId9" w:history="1">
        <w:r w:rsidRPr="008B045A">
          <w:rPr>
            <w:rStyle w:val="Hyperlink"/>
            <w:rFonts w:ascii="Arial" w:hAnsi="Arial" w:cs="Arial"/>
            <w:sz w:val="20"/>
            <w:szCs w:val="20"/>
            <w:lang w:val="en-US"/>
          </w:rPr>
          <w:t>https://krohne.link/2r-mn</w:t>
        </w:r>
      </w:hyperlink>
    </w:p>
    <w:p w:rsidR="00466B7A" w:rsidRPr="0058253C" w:rsidRDefault="00A61B40" w:rsidP="00A61B40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 </w:t>
      </w: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A61B40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noProof/>
          <w:szCs w:val="20"/>
        </w:rPr>
        <w:drawing>
          <wp:inline distT="0" distB="0" distL="0" distR="0" wp14:anchorId="3E7F410B" wp14:editId="32EF29E0">
            <wp:extent cx="1761066" cy="1178843"/>
            <wp:effectExtent l="0" t="0" r="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715" cy="11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lastRenderedPageBreak/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PROFINET I/O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electromagnéticos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OPTIFLUX, WATERFLUX y TIDALFLUX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equipados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A61B40" w:rsidRPr="00A61B40">
        <w:rPr>
          <w:rFonts w:ascii="Arial" w:hAnsi="Arial" w:cs="Arial"/>
          <w:color w:val="auto"/>
          <w:sz w:val="20"/>
          <w:szCs w:val="20"/>
          <w:lang w:val="en-US"/>
        </w:rPr>
        <w:t xml:space="preserve"> IFC 300</w:t>
      </w:r>
    </w:p>
    <w:p w:rsidR="00466B7A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C7327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C73278" w:rsidP="00384328">
      <w:pPr>
        <w:adjustRightInd w:val="0"/>
        <w:spacing w:line="288" w:lineRule="auto"/>
        <w:rPr>
          <w:szCs w:val="20"/>
        </w:rPr>
      </w:pPr>
      <w:hyperlink r:id="rId12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3"/>
      <w:footerReference w:type="default" r:id="rId14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278" w:rsidRDefault="00C73278">
      <w:r>
        <w:separator/>
      </w:r>
    </w:p>
  </w:endnote>
  <w:endnote w:type="continuationSeparator" w:id="0">
    <w:p w:rsidR="00C73278" w:rsidRDefault="00C7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E609F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C73278">
            <w:fldChar w:fldCharType="begin"/>
          </w:r>
          <w:r w:rsidR="00C73278">
            <w:instrText xml:space="preserve"> NUMPAGES </w:instrText>
          </w:r>
          <w:r w:rsidR="00C73278">
            <w:fldChar w:fldCharType="separate"/>
          </w:r>
          <w:r w:rsidR="006E609F">
            <w:rPr>
              <w:noProof/>
            </w:rPr>
            <w:t>2</w:t>
          </w:r>
          <w:r w:rsidR="00C73278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278" w:rsidRDefault="00C73278">
      <w:r>
        <w:separator/>
      </w:r>
    </w:p>
  </w:footnote>
  <w:footnote w:type="continuationSeparator" w:id="0">
    <w:p w:rsidR="00C73278" w:rsidRDefault="00C73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1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09F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3278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.holtmann@krohne.com?subject=ISA%20Messe-Award%20f&#252;r%20UFM%2030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ohn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krohne.link/2r-mn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2DFC8-91D6-4F1C-AA22-589F89E7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413</Words>
  <Characters>2606</Characters>
  <Application>Microsoft Office Word</Application>
  <DocSecurity>0</DocSecurity>
  <Lines>21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3013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Kallweit, Manfred</cp:lastModifiedBy>
  <cp:revision>8</cp:revision>
  <cp:lastPrinted>2012-06-14T17:54:00Z</cp:lastPrinted>
  <dcterms:created xsi:type="dcterms:W3CDTF">2017-09-04T13:06:00Z</dcterms:created>
  <dcterms:modified xsi:type="dcterms:W3CDTF">2019-01-07T16:28:00Z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