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4C60A5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>Nuevos</w:t>
      </w:r>
      <w:proofErr w:type="spellEnd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>másicos</w:t>
      </w:r>
      <w:proofErr w:type="spellEnd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Coriolis para </w:t>
      </w:r>
      <w:proofErr w:type="spellStart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>tuberías</w:t>
      </w:r>
      <w:proofErr w:type="spellEnd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gran </w:t>
      </w:r>
      <w:proofErr w:type="spellStart"/>
      <w:r w:rsidRPr="004C60A5">
        <w:rPr>
          <w:rFonts w:ascii="Arial" w:hAnsi="Arial" w:cs="Arial"/>
          <w:b/>
          <w:color w:val="auto"/>
          <w:sz w:val="28"/>
          <w:szCs w:val="32"/>
          <w:lang w:val="en-US"/>
        </w:rPr>
        <w:t>diámetro</w:t>
      </w:r>
      <w:proofErr w:type="spellEnd"/>
    </w:p>
    <w:p w:rsidR="004C60A5" w:rsidRPr="004C60A5" w:rsidRDefault="004C60A5" w:rsidP="004C60A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4C60A5">
        <w:rPr>
          <w:rFonts w:ascii="Arial" w:hAnsi="Arial" w:cs="Arial"/>
          <w:sz w:val="20"/>
          <w:szCs w:val="20"/>
          <w:lang w:val="en-US"/>
        </w:rPr>
        <w:t xml:space="preserve">OPTIMASS 6400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incluye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ahora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diámetros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DN150/ 6" y DN200/ 8"</w:t>
      </w:r>
    </w:p>
    <w:p w:rsidR="004C60A5" w:rsidRDefault="004C60A5" w:rsidP="004C60A5">
      <w:pPr>
        <w:pStyle w:val="StandardWeb"/>
        <w:numPr>
          <w:ilvl w:val="0"/>
          <w:numId w:val="22"/>
        </w:numPr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4C60A5">
        <w:rPr>
          <w:rFonts w:ascii="Arial" w:hAnsi="Arial" w:cs="Arial"/>
          <w:sz w:val="20"/>
          <w:szCs w:val="20"/>
          <w:lang w:val="en-US"/>
        </w:rPr>
        <w:t xml:space="preserve">OPTIMASS 2400 de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cuatro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tubos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rectos DN400/ 16": el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caudalímetro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Coriolis con la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capacidad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más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elevada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disponible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el </w:t>
      </w:r>
      <w:r>
        <w:rPr>
          <w:rFonts w:ascii="Arial" w:hAnsi="Arial" w:cs="Arial"/>
          <w:sz w:val="20"/>
          <w:szCs w:val="20"/>
          <w:lang w:val="en-US"/>
        </w:rPr>
        <w:t>Mercado</w:t>
      </w:r>
    </w:p>
    <w:p w:rsidR="00F71093" w:rsidRPr="004C60A5" w:rsidRDefault="004C60A5" w:rsidP="004C60A5">
      <w:pPr>
        <w:pStyle w:val="StandardWeb"/>
        <w:numPr>
          <w:ilvl w:val="0"/>
          <w:numId w:val="22"/>
        </w:numPr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Carga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suministro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hidrocarburos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granel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aplicaciones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de gas natural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licuado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/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líquidos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criogénicos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o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aplicaciones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alta</w:t>
      </w:r>
      <w:proofErr w:type="spellEnd"/>
      <w:r w:rsidRPr="004C60A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sz w:val="20"/>
          <w:szCs w:val="20"/>
          <w:lang w:val="en-US"/>
        </w:rPr>
        <w:t>temperatura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4C60A5" w:rsidRDefault="00B00804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="004C60A5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F71093">
        <w:rPr>
          <w:rFonts w:ascii="Arial" w:hAnsi="Arial" w:cs="Arial"/>
          <w:color w:val="auto"/>
          <w:sz w:val="20"/>
          <w:szCs w:val="20"/>
          <w:lang w:val="en-US"/>
        </w:rPr>
        <w:t>septiembre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gran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OPTIMASS: el OPTIMASS 6400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diámetros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DN150/ 6" y DN200/ 8",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que el OPTIMASS 2400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llega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hasta DN400/ 16".</w:t>
      </w:r>
    </w:p>
    <w:p w:rsidR="004C60A5" w:rsidRPr="004C60A5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C60A5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Destinados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Oil &amp; Gas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petroquímica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gran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emplearse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hidrocarburos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granel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gas natural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licuado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/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criogénicos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Brindan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aprobados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MID y OIML para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fiscal de gases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las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API y AGA,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funcionalidad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SIL 2/3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NE 107.</w:t>
      </w:r>
    </w:p>
    <w:p w:rsidR="004C60A5" w:rsidRPr="004C60A5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C60A5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Los OPTIMASS 6400 DN150/ 6" y DN200/ 8"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tienen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curvo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caracteriza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OPTIMASS 2400 DN400/ 16"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totalmente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innovador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lugar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conocido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recto,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rectos para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caudal de hasta 4600 t/h / 169 021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lb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/min;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convierte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Coriolis con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capacidad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elevada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dúplex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súper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dúplex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mantiene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recto: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caracasa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reducida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soporte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cuerpo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contenedor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secundario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inmunidad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al crosstalk entre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instalados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misma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. Brinda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del 0</w:t>
      </w:r>
      <w:proofErr w:type="gram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,1</w:t>
      </w:r>
      <w:proofErr w:type="gram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% con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rangeabilidad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20:1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"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del 0,05 % con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rangeabilidad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10:1. El OPTIMASS 2400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in situ con un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patrón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volúmenes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, se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llevar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cabo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documentación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in situ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utilizando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OPTICHECK.</w:t>
      </w:r>
    </w:p>
    <w:p w:rsidR="004C60A5" w:rsidRPr="004C60A5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71093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gran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cuentan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gas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EGM,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brindando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continua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repetible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o la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amplio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fracciones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gas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complejas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leen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mantienen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bifásicos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mezclas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y gases,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gases o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altamente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viscosos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C60A5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gas.</w:t>
      </w:r>
    </w:p>
    <w:p w:rsidR="004C60A5" w:rsidRPr="0058253C" w:rsidRDefault="004C60A5" w:rsidP="004C60A5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071D55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8.9pt;height:260.8pt">
            <v:imagedata r:id="rId9" o:title="OPTIMASS_2000_6000_LLS_20cm_72dpi_RGB"/>
          </v:shape>
        </w:pict>
      </w:r>
    </w:p>
    <w:p w:rsidR="00CD66E7" w:rsidRPr="0058253C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Coriolis para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de gran </w:t>
      </w:r>
      <w:proofErr w:type="spellStart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="004C60A5" w:rsidRPr="004C60A5">
        <w:rPr>
          <w:rFonts w:ascii="Arial" w:hAnsi="Arial" w:cs="Arial"/>
          <w:color w:val="auto"/>
          <w:sz w:val="20"/>
          <w:szCs w:val="20"/>
          <w:lang w:val="en-US"/>
        </w:rPr>
        <w:t xml:space="preserve"> OPTIMASS 6400 DN150/ 6" y DN200/ 8", y OPTIMASS 2400 DN400/ 16"</w:t>
      </w:r>
      <w:bookmarkStart w:id="0" w:name="_GoBack"/>
      <w:bookmarkEnd w:id="0"/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071D5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071D55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71D55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071D55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437A-8666-4B2B-86FF-10287A05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560</Words>
  <Characters>3097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3650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2012-06-14T17:54:00Z</cp:lastPrinted>
  <dcterms:created xsi:type="dcterms:W3CDTF">2017-09-04T13:06:00Z</dcterms:created>
  <dcterms:modified xsi:type="dcterms:W3CDTF">2017-09-04T13:45:00Z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