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Pr="00C81AA6" w:rsidRDefault="00C81AA6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</w:rPr>
      </w:pPr>
      <w:r w:rsidRPr="00C81AA6">
        <w:rPr>
          <w:rFonts w:ascii="Arial" w:hAnsi="Arial" w:cs="Arial"/>
          <w:b/>
          <w:color w:val="auto"/>
          <w:sz w:val="28"/>
          <w:szCs w:val="32"/>
        </w:rPr>
        <w:t xml:space="preserve">ANABEEB y KROHNE </w:t>
      </w:r>
      <w:proofErr w:type="spellStart"/>
      <w:r w:rsidRPr="00C81AA6">
        <w:rPr>
          <w:rFonts w:ascii="Arial" w:hAnsi="Arial" w:cs="Arial"/>
          <w:b/>
          <w:color w:val="auto"/>
          <w:sz w:val="28"/>
          <w:szCs w:val="32"/>
        </w:rPr>
        <w:t>firman</w:t>
      </w:r>
      <w:proofErr w:type="spellEnd"/>
      <w:r w:rsidRPr="00C81AA6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C81AA6">
        <w:rPr>
          <w:rFonts w:ascii="Arial" w:hAnsi="Arial" w:cs="Arial"/>
          <w:b/>
          <w:color w:val="auto"/>
          <w:sz w:val="28"/>
          <w:szCs w:val="32"/>
        </w:rPr>
        <w:t>el</w:t>
      </w:r>
      <w:proofErr w:type="spellEnd"/>
      <w:r w:rsidRPr="00C81AA6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C81AA6">
        <w:rPr>
          <w:rFonts w:ascii="Arial" w:hAnsi="Arial" w:cs="Arial"/>
          <w:b/>
          <w:color w:val="auto"/>
          <w:sz w:val="28"/>
          <w:szCs w:val="32"/>
        </w:rPr>
        <w:t>acuerdo</w:t>
      </w:r>
      <w:proofErr w:type="spellEnd"/>
      <w:r w:rsidRPr="00C81AA6">
        <w:rPr>
          <w:rFonts w:ascii="Arial" w:hAnsi="Arial" w:cs="Arial"/>
          <w:b/>
          <w:color w:val="auto"/>
          <w:sz w:val="28"/>
          <w:szCs w:val="32"/>
        </w:rPr>
        <w:t xml:space="preserve"> de </w:t>
      </w:r>
      <w:proofErr w:type="spellStart"/>
      <w:r w:rsidRPr="00C81AA6">
        <w:rPr>
          <w:rFonts w:ascii="Arial" w:hAnsi="Arial" w:cs="Arial"/>
          <w:b/>
          <w:color w:val="auto"/>
          <w:sz w:val="28"/>
          <w:szCs w:val="32"/>
        </w:rPr>
        <w:t>cooperaci</w:t>
      </w:r>
      <w:r w:rsidRPr="00C81AA6">
        <w:rPr>
          <w:rFonts w:ascii="Arial" w:hAnsi="Arial" w:cs="Arial" w:hint="eastAsia"/>
          <w:b/>
          <w:color w:val="auto"/>
          <w:sz w:val="28"/>
          <w:szCs w:val="32"/>
        </w:rPr>
        <w:t>ó</w:t>
      </w:r>
      <w:r w:rsidRPr="00C81AA6">
        <w:rPr>
          <w:rFonts w:ascii="Arial" w:hAnsi="Arial" w:cs="Arial"/>
          <w:b/>
          <w:color w:val="auto"/>
          <w:sz w:val="28"/>
          <w:szCs w:val="32"/>
        </w:rPr>
        <w:t>n</w:t>
      </w:r>
      <w:proofErr w:type="spellEnd"/>
      <w:r w:rsidRPr="00C81AA6">
        <w:rPr>
          <w:rFonts w:ascii="Arial" w:hAnsi="Arial" w:cs="Arial"/>
          <w:b/>
          <w:color w:val="auto"/>
          <w:sz w:val="28"/>
          <w:szCs w:val="32"/>
        </w:rPr>
        <w:t xml:space="preserve"> en </w:t>
      </w:r>
      <w:proofErr w:type="spellStart"/>
      <w:r w:rsidRPr="00C81AA6">
        <w:rPr>
          <w:rFonts w:ascii="Arial" w:hAnsi="Arial" w:cs="Arial"/>
          <w:b/>
          <w:color w:val="auto"/>
          <w:sz w:val="28"/>
          <w:szCs w:val="32"/>
        </w:rPr>
        <w:t>ventas</w:t>
      </w:r>
      <w:proofErr w:type="spellEnd"/>
    </w:p>
    <w:p w:rsidR="00C81AA6" w:rsidRPr="00C81AA6" w:rsidRDefault="00C81AA6" w:rsidP="00C81AA6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</w:rPr>
      </w:pPr>
      <w:proofErr w:type="spellStart"/>
      <w:r w:rsidRPr="00C81AA6">
        <w:rPr>
          <w:rFonts w:ascii="Arial" w:hAnsi="Arial" w:cs="Arial"/>
          <w:sz w:val="20"/>
        </w:rPr>
        <w:t>Actividades</w:t>
      </w:r>
      <w:proofErr w:type="spellEnd"/>
      <w:r w:rsidRPr="00C81AA6">
        <w:rPr>
          <w:rFonts w:ascii="Arial" w:hAnsi="Arial" w:cs="Arial"/>
          <w:sz w:val="20"/>
        </w:rPr>
        <w:t xml:space="preserve"> de </w:t>
      </w:r>
      <w:proofErr w:type="spellStart"/>
      <w:r w:rsidRPr="00C81AA6">
        <w:rPr>
          <w:rFonts w:ascii="Arial" w:hAnsi="Arial" w:cs="Arial"/>
          <w:sz w:val="20"/>
        </w:rPr>
        <w:t>ventas</w:t>
      </w:r>
      <w:proofErr w:type="spellEnd"/>
      <w:r w:rsidRPr="00C81AA6">
        <w:rPr>
          <w:rFonts w:ascii="Arial" w:hAnsi="Arial" w:cs="Arial"/>
          <w:sz w:val="20"/>
        </w:rPr>
        <w:t xml:space="preserve"> </w:t>
      </w:r>
      <w:proofErr w:type="spellStart"/>
      <w:r w:rsidRPr="00C81AA6">
        <w:rPr>
          <w:rFonts w:ascii="Arial" w:hAnsi="Arial" w:cs="Arial"/>
          <w:sz w:val="20"/>
        </w:rPr>
        <w:t>conjuntas</w:t>
      </w:r>
      <w:proofErr w:type="spellEnd"/>
      <w:r w:rsidRPr="00C81AA6">
        <w:rPr>
          <w:rFonts w:ascii="Arial" w:hAnsi="Arial" w:cs="Arial"/>
          <w:sz w:val="20"/>
        </w:rPr>
        <w:t xml:space="preserve"> en </w:t>
      </w:r>
      <w:proofErr w:type="spellStart"/>
      <w:r w:rsidRPr="00C81AA6">
        <w:rPr>
          <w:rFonts w:ascii="Arial" w:hAnsi="Arial" w:cs="Arial"/>
          <w:sz w:val="20"/>
        </w:rPr>
        <w:t>Arabia</w:t>
      </w:r>
      <w:proofErr w:type="spellEnd"/>
      <w:r w:rsidRPr="00C81AA6">
        <w:rPr>
          <w:rFonts w:ascii="Arial" w:hAnsi="Arial" w:cs="Arial"/>
          <w:sz w:val="20"/>
        </w:rPr>
        <w:t xml:space="preserve"> </w:t>
      </w:r>
      <w:proofErr w:type="spellStart"/>
      <w:r w:rsidRPr="00C81AA6">
        <w:rPr>
          <w:rFonts w:ascii="Arial" w:hAnsi="Arial" w:cs="Arial"/>
          <w:sz w:val="20"/>
        </w:rPr>
        <w:t>Saud</w:t>
      </w:r>
      <w:r w:rsidRPr="00C81AA6">
        <w:rPr>
          <w:rFonts w:ascii="Arial" w:hAnsi="Arial" w:cs="Arial" w:hint="eastAsia"/>
          <w:sz w:val="20"/>
        </w:rPr>
        <w:t>í</w:t>
      </w:r>
      <w:proofErr w:type="spellEnd"/>
      <w:r w:rsidRPr="00C81AA6">
        <w:rPr>
          <w:rFonts w:ascii="Arial" w:hAnsi="Arial" w:cs="Arial"/>
          <w:sz w:val="20"/>
        </w:rPr>
        <w:t xml:space="preserve"> </w:t>
      </w:r>
      <w:proofErr w:type="spellStart"/>
      <w:r w:rsidRPr="00C81AA6">
        <w:rPr>
          <w:rFonts w:ascii="Arial" w:hAnsi="Arial" w:cs="Arial"/>
          <w:sz w:val="20"/>
        </w:rPr>
        <w:t>para</w:t>
      </w:r>
      <w:proofErr w:type="spellEnd"/>
      <w:r w:rsidRPr="00C81AA6">
        <w:rPr>
          <w:rFonts w:ascii="Arial" w:hAnsi="Arial" w:cs="Arial"/>
          <w:sz w:val="20"/>
        </w:rPr>
        <w:t xml:space="preserve"> </w:t>
      </w:r>
      <w:proofErr w:type="spellStart"/>
      <w:r w:rsidRPr="00C81AA6">
        <w:rPr>
          <w:rFonts w:ascii="Arial" w:hAnsi="Arial" w:cs="Arial"/>
          <w:sz w:val="20"/>
        </w:rPr>
        <w:t>soluciones</w:t>
      </w:r>
      <w:proofErr w:type="spellEnd"/>
      <w:r w:rsidRPr="00C81AA6">
        <w:rPr>
          <w:rFonts w:ascii="Arial" w:hAnsi="Arial" w:cs="Arial"/>
          <w:sz w:val="20"/>
        </w:rPr>
        <w:t xml:space="preserve"> y </w:t>
      </w:r>
      <w:proofErr w:type="spellStart"/>
      <w:r w:rsidRPr="00C81AA6">
        <w:rPr>
          <w:rFonts w:ascii="Arial" w:hAnsi="Arial" w:cs="Arial"/>
          <w:sz w:val="20"/>
        </w:rPr>
        <w:t>servicios</w:t>
      </w:r>
      <w:proofErr w:type="spellEnd"/>
      <w:r w:rsidRPr="00C81AA6">
        <w:rPr>
          <w:rFonts w:ascii="Arial" w:hAnsi="Arial" w:cs="Arial"/>
          <w:sz w:val="20"/>
        </w:rPr>
        <w:t xml:space="preserve"> de </w:t>
      </w:r>
      <w:proofErr w:type="spellStart"/>
      <w:r w:rsidRPr="00C81AA6">
        <w:rPr>
          <w:rFonts w:ascii="Arial" w:hAnsi="Arial" w:cs="Arial"/>
          <w:sz w:val="20"/>
        </w:rPr>
        <w:t>medida</w:t>
      </w:r>
      <w:proofErr w:type="spellEnd"/>
      <w:r w:rsidRPr="00C81AA6">
        <w:rPr>
          <w:rFonts w:ascii="Arial" w:hAnsi="Arial" w:cs="Arial"/>
          <w:sz w:val="20"/>
        </w:rPr>
        <w:t xml:space="preserve"> en las </w:t>
      </w:r>
      <w:proofErr w:type="spellStart"/>
      <w:r w:rsidRPr="00C81AA6">
        <w:rPr>
          <w:rFonts w:ascii="Arial" w:hAnsi="Arial" w:cs="Arial"/>
          <w:sz w:val="20"/>
        </w:rPr>
        <w:t>industrias</w:t>
      </w:r>
      <w:proofErr w:type="spellEnd"/>
      <w:r w:rsidRPr="00C81AA6">
        <w:rPr>
          <w:rFonts w:ascii="Arial" w:hAnsi="Arial" w:cs="Arial"/>
          <w:sz w:val="20"/>
        </w:rPr>
        <w:t xml:space="preserve"> del </w:t>
      </w:r>
      <w:proofErr w:type="spellStart"/>
      <w:r w:rsidRPr="00C81AA6">
        <w:rPr>
          <w:rFonts w:ascii="Arial" w:hAnsi="Arial" w:cs="Arial"/>
          <w:sz w:val="20"/>
        </w:rPr>
        <w:t>petr</w:t>
      </w:r>
      <w:r w:rsidRPr="00C81AA6">
        <w:rPr>
          <w:rFonts w:ascii="Arial" w:hAnsi="Arial" w:cs="Arial" w:hint="eastAsia"/>
          <w:sz w:val="20"/>
        </w:rPr>
        <w:t>ó</w:t>
      </w:r>
      <w:r w:rsidRPr="00C81AA6">
        <w:rPr>
          <w:rFonts w:ascii="Arial" w:hAnsi="Arial" w:cs="Arial"/>
          <w:sz w:val="20"/>
        </w:rPr>
        <w:t>leo</w:t>
      </w:r>
      <w:proofErr w:type="spellEnd"/>
      <w:r w:rsidRPr="00C81AA6">
        <w:rPr>
          <w:rFonts w:ascii="Arial" w:hAnsi="Arial" w:cs="Arial"/>
          <w:sz w:val="20"/>
        </w:rPr>
        <w:t xml:space="preserve"> y gas, </w:t>
      </w:r>
      <w:proofErr w:type="spellStart"/>
      <w:r w:rsidRPr="00C81AA6">
        <w:rPr>
          <w:rFonts w:ascii="Arial" w:hAnsi="Arial" w:cs="Arial"/>
          <w:sz w:val="20"/>
        </w:rPr>
        <w:t>minera</w:t>
      </w:r>
      <w:proofErr w:type="spellEnd"/>
      <w:r w:rsidRPr="00C81AA6">
        <w:rPr>
          <w:rFonts w:ascii="Arial" w:hAnsi="Arial" w:cs="Arial"/>
          <w:sz w:val="20"/>
        </w:rPr>
        <w:t xml:space="preserve">, </w:t>
      </w:r>
      <w:proofErr w:type="spellStart"/>
      <w:r w:rsidRPr="00C81AA6">
        <w:rPr>
          <w:rFonts w:ascii="Arial" w:hAnsi="Arial" w:cs="Arial"/>
          <w:sz w:val="20"/>
        </w:rPr>
        <w:t>petroqu</w:t>
      </w:r>
      <w:r w:rsidRPr="00C81AA6">
        <w:rPr>
          <w:rFonts w:ascii="Arial" w:hAnsi="Arial" w:cs="Arial" w:hint="eastAsia"/>
          <w:sz w:val="20"/>
        </w:rPr>
        <w:t>í</w:t>
      </w:r>
      <w:r w:rsidRPr="00C81AA6">
        <w:rPr>
          <w:rFonts w:ascii="Arial" w:hAnsi="Arial" w:cs="Arial"/>
          <w:sz w:val="20"/>
        </w:rPr>
        <w:t>mica</w:t>
      </w:r>
      <w:proofErr w:type="spellEnd"/>
      <w:r w:rsidRPr="00C81AA6">
        <w:rPr>
          <w:rFonts w:ascii="Arial" w:hAnsi="Arial" w:cs="Arial"/>
          <w:sz w:val="20"/>
        </w:rPr>
        <w:t xml:space="preserve"> y </w:t>
      </w:r>
      <w:proofErr w:type="spellStart"/>
      <w:r w:rsidRPr="00C81AA6">
        <w:rPr>
          <w:rFonts w:ascii="Arial" w:hAnsi="Arial" w:cs="Arial"/>
          <w:sz w:val="20"/>
        </w:rPr>
        <w:t>qu</w:t>
      </w:r>
      <w:r w:rsidRPr="00C81AA6">
        <w:rPr>
          <w:rFonts w:ascii="Arial" w:hAnsi="Arial" w:cs="Arial" w:hint="eastAsia"/>
          <w:sz w:val="20"/>
        </w:rPr>
        <w:t>í</w:t>
      </w:r>
      <w:r w:rsidRPr="00C81AA6">
        <w:rPr>
          <w:rFonts w:ascii="Arial" w:hAnsi="Arial" w:cs="Arial"/>
          <w:sz w:val="20"/>
        </w:rPr>
        <w:t>mica</w:t>
      </w:r>
      <w:proofErr w:type="spellEnd"/>
    </w:p>
    <w:p w:rsidR="00C81AA6" w:rsidRPr="00192150" w:rsidRDefault="00C81AA6" w:rsidP="00C81AA6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C81AA6">
        <w:rPr>
          <w:rFonts w:ascii="Arial" w:hAnsi="Arial" w:cs="Arial"/>
          <w:sz w:val="20"/>
          <w:lang w:val="en-US"/>
        </w:rPr>
        <w:t>Apertura</w:t>
      </w:r>
      <w:proofErr w:type="spellEnd"/>
      <w:r w:rsidRPr="00C81AA6">
        <w:rPr>
          <w:rFonts w:ascii="Arial" w:hAnsi="Arial" w:cs="Arial"/>
          <w:sz w:val="20"/>
          <w:lang w:val="en-US"/>
        </w:rPr>
        <w:t xml:space="preserve"> de la </w:t>
      </w:r>
      <w:proofErr w:type="spellStart"/>
      <w:r w:rsidRPr="00C81AA6">
        <w:rPr>
          <w:rFonts w:ascii="Arial" w:hAnsi="Arial" w:cs="Arial"/>
          <w:sz w:val="20"/>
          <w:lang w:val="en-US"/>
        </w:rPr>
        <w:t>Oficina</w:t>
      </w:r>
      <w:proofErr w:type="spellEnd"/>
      <w:r w:rsidRPr="00C81AA6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sz w:val="20"/>
          <w:lang w:val="en-US"/>
        </w:rPr>
        <w:t>Cooperaci</w:t>
      </w:r>
      <w:r w:rsidRPr="00C81AA6">
        <w:rPr>
          <w:rFonts w:ascii="Arial" w:hAnsi="Arial" w:cs="Arial" w:hint="eastAsia"/>
          <w:sz w:val="20"/>
          <w:lang w:val="en-US"/>
        </w:rPr>
        <w:t>ó</w:t>
      </w:r>
      <w:r w:rsidRPr="00C81AA6">
        <w:rPr>
          <w:rFonts w:ascii="Arial" w:hAnsi="Arial" w:cs="Arial"/>
          <w:sz w:val="20"/>
          <w:lang w:val="en-US"/>
        </w:rPr>
        <w:t>n</w:t>
      </w:r>
      <w:proofErr w:type="spellEnd"/>
      <w:r w:rsidRPr="00C81AA6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sz w:val="20"/>
          <w:lang w:val="en-US"/>
        </w:rPr>
        <w:t>en</w:t>
      </w:r>
      <w:proofErr w:type="spellEnd"/>
      <w:r w:rsidRPr="00C81AA6">
        <w:rPr>
          <w:rFonts w:ascii="Arial" w:hAnsi="Arial" w:cs="Arial"/>
          <w:sz w:val="20"/>
          <w:lang w:val="en-US"/>
        </w:rPr>
        <w:t xml:space="preserve"> Ventas KROHNE </w:t>
      </w:r>
      <w:proofErr w:type="spellStart"/>
      <w:r w:rsidRPr="00C81AA6">
        <w:rPr>
          <w:rFonts w:ascii="Arial" w:hAnsi="Arial" w:cs="Arial"/>
          <w:sz w:val="20"/>
          <w:lang w:val="en-US"/>
        </w:rPr>
        <w:t>en</w:t>
      </w:r>
      <w:proofErr w:type="spellEnd"/>
      <w:r w:rsidRPr="00C81AA6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sz w:val="20"/>
          <w:lang w:val="en-US"/>
        </w:rPr>
        <w:t>Jubail</w:t>
      </w:r>
      <w:proofErr w:type="spellEnd"/>
      <w:r w:rsidRPr="00C81AA6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C81AA6">
        <w:rPr>
          <w:rFonts w:ascii="Arial" w:hAnsi="Arial" w:cs="Arial"/>
          <w:sz w:val="20"/>
          <w:lang w:val="en-US"/>
        </w:rPr>
        <w:t>Reino</w:t>
      </w:r>
      <w:proofErr w:type="spellEnd"/>
      <w:r w:rsidRPr="00C81AA6">
        <w:rPr>
          <w:rFonts w:ascii="Arial" w:hAnsi="Arial" w:cs="Arial"/>
          <w:sz w:val="20"/>
          <w:lang w:val="en-US"/>
        </w:rPr>
        <w:t xml:space="preserve"> de Arabia </w:t>
      </w:r>
      <w:proofErr w:type="spellStart"/>
      <w:r w:rsidRPr="00C81AA6">
        <w:rPr>
          <w:rFonts w:ascii="Arial" w:hAnsi="Arial" w:cs="Arial"/>
          <w:sz w:val="20"/>
          <w:lang w:val="en-US"/>
        </w:rPr>
        <w:t>Saud</w:t>
      </w:r>
      <w:r w:rsidRPr="00C81AA6">
        <w:rPr>
          <w:rFonts w:ascii="Arial" w:hAnsi="Arial" w:cs="Arial" w:hint="eastAsia"/>
          <w:sz w:val="20"/>
          <w:lang w:val="en-US"/>
        </w:rPr>
        <w:t>í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C81AA6" w:rsidRDefault="00B00804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C81AA6">
        <w:rPr>
          <w:rFonts w:ascii="Arial" w:hAnsi="Arial" w:cs="Arial"/>
          <w:color w:val="auto"/>
          <w:sz w:val="20"/>
          <w:szCs w:val="20"/>
          <w:lang w:val="en-US"/>
        </w:rPr>
        <w:t>13</w:t>
      </w:r>
      <w:r w:rsidR="00FB6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FB6AC0">
        <w:rPr>
          <w:rFonts w:ascii="Arial" w:hAnsi="Arial" w:cs="Arial"/>
          <w:color w:val="auto"/>
          <w:sz w:val="20"/>
          <w:szCs w:val="20"/>
          <w:lang w:val="en-US"/>
        </w:rPr>
        <w:t>d</w:t>
      </w:r>
      <w:bookmarkStart w:id="0" w:name="_GoBack"/>
      <w:bookmarkEnd w:id="0"/>
      <w:r w:rsidR="00FB6AC0">
        <w:rPr>
          <w:rFonts w:ascii="Arial" w:hAnsi="Arial" w:cs="Arial"/>
          <w:color w:val="auto"/>
          <w:sz w:val="20"/>
          <w:szCs w:val="20"/>
          <w:lang w:val="en-US"/>
        </w:rPr>
        <w:t>e</w:t>
      </w:r>
      <w:r w:rsidR="009D3682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9D368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C81AA6">
        <w:rPr>
          <w:rFonts w:ascii="Arial" w:hAnsi="Arial" w:cs="Arial"/>
          <w:color w:val="auto"/>
          <w:sz w:val="20"/>
          <w:szCs w:val="20"/>
          <w:lang w:val="en-US"/>
        </w:rPr>
        <w:t>mayo</w:t>
      </w:r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El 3 de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marzo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Arabian Pipeline &amp; Services Co. Ltd (ANABEEB) y KROHNE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firmaron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acuerdo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cooperaci</w:t>
      </w:r>
      <w:r w:rsidR="00C81AA6"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actividades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ventas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conjuntas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Arabia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Saud</w:t>
      </w:r>
      <w:r w:rsidR="00C81AA6"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acuerdo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actividades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ventas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petr</w:t>
      </w:r>
      <w:r w:rsidR="00C81AA6"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leo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gas,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minera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petroqu</w:t>
      </w:r>
      <w:r w:rsidR="00C81AA6"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mica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qu</w:t>
      </w:r>
      <w:r w:rsidR="00C81AA6"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mica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1AA6" w:rsidRP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Hashim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Moraisel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Director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Ejecutivo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ANABEEB, y Stephan Neuburger, Director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Ejecutivo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KROHNE Group,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firmaron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personalmente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acuerdo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coincidencia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apertura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oficial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del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Oficina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Cooperaci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Ventas KROHNE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 ciudad industrial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Jubail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Arabia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Saud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1AA6" w:rsidRP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“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Con KROHNE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ampliamos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alcance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soluci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tienda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" de ANABEEB para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nuestros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Saudi Aramco y SABIC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Reino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Arabia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Saud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”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afirma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Hashim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Moraisel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“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KROHNE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representan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un valor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adido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extraordinario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nuestros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un campo que hoy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ANABEEB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cubre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solo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parcialmente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Nuestras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Ventas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Producci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junto con las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Soluciones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Alta Gama de KROHNE,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reforzar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lazos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entre las dos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empresas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sentar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las bases para un </w:t>
      </w:r>
      <w:proofErr w:type="spellStart"/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xito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asegurado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durante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muchos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venir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>.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”</w:t>
      </w:r>
    </w:p>
    <w:p w:rsidR="00C81AA6" w:rsidRP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“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Con ANABEEB,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contamos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socio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fuerte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atender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importante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Arabia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Saud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”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declara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Stephan Neuburger. </w:t>
      </w:r>
      <w:proofErr w:type="gramStart"/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“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cooperaci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paso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importante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alcanzar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mayor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visibilidad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Oriente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Medio.</w:t>
      </w:r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Para KROHNE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sumamente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importante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comprender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aplicaci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cliente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solamente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presencia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local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podemos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conocer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fondo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exigencias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cliente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ofrecer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soluci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competitiva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Busc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bamos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socio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fiable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cre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ble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estamos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convencidos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que lo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hemos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encontrado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ANABEEB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”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1AA6" w:rsidRP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Con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ayuda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oficina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Oriente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Medio de KROHNE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Dub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que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existe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hace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oficina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Jubail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atender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Arabia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Saud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. Los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ofrecidos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abarcan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soluciones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KROHNE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relacionados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transporte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almacenamiento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petr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leo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gas,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la</w:t>
      </w:r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monitorizaci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detecci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localizaci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fugas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quidos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gases.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incluidas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procesamiento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el sector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minero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proofErr w:type="gram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con alto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contenido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lidos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o 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almacenamiento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lidos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1AA6" w:rsidRP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075F69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Acerca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ANABEEB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Con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4500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pocas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ocupadas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flota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fabricados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Europa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Estados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Unidos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mejor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conservada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misi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ANABEEB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proporcionar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empresas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petr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leo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gas,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C81AA6">
        <w:rPr>
          <w:rFonts w:ascii="Arial" w:hAnsi="Arial" w:cs="Arial"/>
          <w:color w:val="auto"/>
          <w:sz w:val="20"/>
          <w:szCs w:val="20"/>
          <w:lang w:val="en-US"/>
        </w:rPr>
        <w:t>blicos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otros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. Junto con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especialistas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fama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internacional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nos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hacemos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responsables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completo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independientemente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que la planta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parada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81AA6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C81AA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C81AA6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81AA6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color w:val="auto"/>
          <w:sz w:val="20"/>
          <w:szCs w:val="20"/>
          <w:lang w:val="en-US"/>
        </w:rPr>
        <w:t>I</w:t>
      </w:r>
      <w:r w:rsidRPr="00C81AA6">
        <w:rPr>
          <w:rFonts w:ascii="Arial" w:hAnsi="Arial" w:cs="Arial"/>
          <w:b/>
          <w:color w:val="auto"/>
          <w:sz w:val="20"/>
          <w:szCs w:val="20"/>
          <w:lang w:val="en-US"/>
        </w:rPr>
        <w:t>m</w:t>
      </w:r>
      <w:r w:rsidRPr="00C81AA6">
        <w:rPr>
          <w:rFonts w:ascii="Arial" w:hAnsi="Arial" w:cs="Arial" w:hint="eastAsia"/>
          <w:b/>
          <w:color w:val="auto"/>
          <w:sz w:val="20"/>
          <w:szCs w:val="20"/>
          <w:lang w:val="en-US"/>
        </w:rPr>
        <w:t>á</w:t>
      </w:r>
      <w:r w:rsidRPr="00C81AA6">
        <w:rPr>
          <w:rFonts w:ascii="Arial" w:hAnsi="Arial" w:cs="Arial"/>
          <w:b/>
          <w:color w:val="auto"/>
          <w:sz w:val="20"/>
          <w:szCs w:val="20"/>
          <w:lang w:val="en-US"/>
        </w:rPr>
        <w:t>genes</w:t>
      </w:r>
      <w:proofErr w:type="spellEnd"/>
      <w:r w:rsidR="00CF6EF2"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C81AA6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noProof/>
          <w:color w:val="auto"/>
          <w:sz w:val="20"/>
          <w:szCs w:val="20"/>
        </w:rPr>
        <w:lastRenderedPageBreak/>
        <w:drawing>
          <wp:inline distT="0" distB="0" distL="0" distR="0" wp14:anchorId="4B3A04EE" wp14:editId="0BDC0A5D">
            <wp:extent cx="2812212" cy="1810424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935" cy="1816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1AA6" w:rsidRPr="000E4177" w:rsidRDefault="00C81AA6" w:rsidP="00C81AA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81AA6" w:rsidRDefault="00C81AA6" w:rsidP="00C81AA6">
      <w:pPr>
        <w:pStyle w:val="1CD-BodyCharChar"/>
        <w:spacing w:line="288" w:lineRule="auto"/>
        <w:rPr>
          <w:szCs w:val="20"/>
          <w:lang w:val="en-US"/>
        </w:rPr>
      </w:pPr>
      <w:r>
        <w:rPr>
          <w:rFonts w:cs="Arial"/>
          <w:noProof/>
          <w:color w:val="auto"/>
          <w:szCs w:val="20"/>
        </w:rPr>
        <w:drawing>
          <wp:inline distT="0" distB="0" distL="0" distR="0" wp14:anchorId="13863FF2" wp14:editId="204FD632">
            <wp:extent cx="2734574" cy="1997520"/>
            <wp:effectExtent l="0" t="0" r="8890" b="3175"/>
            <wp:docPr id="4" name="Picture 4" descr="E:\DSC_5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SC_51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10000"/>
                    </a:blip>
                    <a:srcRect l="1222" t="9443" r="16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574" cy="199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F69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r w:rsidR="00C81AA6">
        <w:rPr>
          <w:rFonts w:ascii="Arial" w:hAnsi="Arial" w:cs="Arial"/>
          <w:b/>
          <w:color w:val="auto"/>
          <w:sz w:val="20"/>
          <w:szCs w:val="20"/>
          <w:lang w:val="en-US"/>
        </w:rPr>
        <w:t>s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Hashim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Moraisel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, CEO de ANABEEB, y Stephan Neuburger, Director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Ejecutivo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KROHNE Group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mientras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firman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acuerdo</w:t>
      </w:r>
      <w:proofErr w:type="spellEnd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cooperaci</w:t>
      </w:r>
      <w:r w:rsidR="00C81AA6" w:rsidRPr="00C81AA6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C81AA6" w:rsidRPr="00C81AA6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</w:p>
    <w:p w:rsidR="00C81AA6" w:rsidRPr="00CF6EF2" w:rsidRDefault="00C81AA6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C81AA6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C81AA6" w:rsidP="00384328">
      <w:pPr>
        <w:adjustRightInd w:val="0"/>
        <w:spacing w:line="288" w:lineRule="auto"/>
        <w:rPr>
          <w:szCs w:val="20"/>
        </w:rPr>
      </w:pPr>
      <w:hyperlink r:id="rId12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3"/>
      <w:footerReference w:type="default" r:id="rId14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81AA6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C81AA6">
            <w:fldChar w:fldCharType="begin"/>
          </w:r>
          <w:r w:rsidR="00C81AA6">
            <w:instrText xml:space="preserve"> NUMPAGES </w:instrText>
          </w:r>
          <w:r w:rsidR="00C81AA6">
            <w:fldChar w:fldCharType="separate"/>
          </w:r>
          <w:r w:rsidR="00C81AA6">
            <w:rPr>
              <w:noProof/>
            </w:rPr>
            <w:t>2</w:t>
          </w:r>
          <w:r w:rsidR="00C81AA6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AA6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ohn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2AC3F-5E5E-48F9-A022-46F57E0D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625</Words>
  <Characters>3478</Characters>
  <Application>Microsoft Office Word</Application>
  <DocSecurity>0</DocSecurity>
  <Lines>28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4095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7</cp:revision>
  <cp:lastPrinted>2012-06-14T17:54:00Z</cp:lastPrinted>
  <dcterms:created xsi:type="dcterms:W3CDTF">2016-01-14T08:19:00Z</dcterms:created>
  <dcterms:modified xsi:type="dcterms:W3CDTF">2016-05-13T09:51:00Z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