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CC1" w:rsidRDefault="00B55F7E"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r w:rsidRPr="00B55F7E">
        <w:rPr>
          <w:rFonts w:ascii="Arial" w:hAnsi="Arial" w:cs="Arial"/>
          <w:b/>
          <w:sz w:val="28"/>
          <w:szCs w:val="32"/>
          <w:lang w:val="fr-FR"/>
        </w:rPr>
        <w:t>Signature par ANABEEB et KROHNE d'un accord de coop</w:t>
      </w:r>
      <w:r w:rsidRPr="00B55F7E">
        <w:rPr>
          <w:rFonts w:ascii="Arial" w:hAnsi="Arial" w:cs="Arial" w:hint="eastAsia"/>
          <w:b/>
          <w:sz w:val="28"/>
          <w:szCs w:val="32"/>
          <w:lang w:val="fr-FR"/>
        </w:rPr>
        <w:t>é</w:t>
      </w:r>
      <w:r w:rsidRPr="00B55F7E">
        <w:rPr>
          <w:rFonts w:ascii="Arial" w:hAnsi="Arial" w:cs="Arial"/>
          <w:b/>
          <w:sz w:val="28"/>
          <w:szCs w:val="32"/>
          <w:lang w:val="fr-FR"/>
        </w:rPr>
        <w:t xml:space="preserve">ration </w:t>
      </w:r>
    </w:p>
    <w:p w:rsidR="0033265B" w:rsidRDefault="00B55F7E"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proofErr w:type="gramStart"/>
      <w:r w:rsidRPr="00B55F7E">
        <w:rPr>
          <w:rFonts w:ascii="Arial" w:hAnsi="Arial" w:cs="Arial"/>
          <w:b/>
          <w:sz w:val="28"/>
          <w:szCs w:val="32"/>
          <w:lang w:val="fr-FR"/>
        </w:rPr>
        <w:t>en</w:t>
      </w:r>
      <w:proofErr w:type="gramEnd"/>
      <w:r w:rsidRPr="00B55F7E">
        <w:rPr>
          <w:rFonts w:ascii="Arial" w:hAnsi="Arial" w:cs="Arial"/>
          <w:b/>
          <w:sz w:val="28"/>
          <w:szCs w:val="32"/>
          <w:lang w:val="fr-FR"/>
        </w:rPr>
        <w:t xml:space="preserve"> mati</w:t>
      </w:r>
      <w:r w:rsidRPr="00B55F7E">
        <w:rPr>
          <w:rFonts w:ascii="Arial" w:hAnsi="Arial" w:cs="Arial" w:hint="eastAsia"/>
          <w:b/>
          <w:sz w:val="28"/>
          <w:szCs w:val="32"/>
          <w:lang w:val="fr-FR"/>
        </w:rPr>
        <w:t>è</w:t>
      </w:r>
      <w:r w:rsidRPr="00B55F7E">
        <w:rPr>
          <w:rFonts w:ascii="Arial" w:hAnsi="Arial" w:cs="Arial"/>
          <w:b/>
          <w:sz w:val="28"/>
          <w:szCs w:val="32"/>
          <w:lang w:val="fr-FR"/>
        </w:rPr>
        <w:t>re de ventes</w:t>
      </w:r>
    </w:p>
    <w:p w:rsidR="0032434C" w:rsidRPr="0032434C" w:rsidRDefault="0032434C" w:rsidP="0032434C">
      <w:pPr>
        <w:adjustRightInd w:val="0"/>
        <w:spacing w:line="288" w:lineRule="auto"/>
        <w:ind w:right="495"/>
        <w:jc w:val="both"/>
        <w:rPr>
          <w:rFonts w:ascii="Arial" w:hAnsi="Arial" w:cs="Arial"/>
          <w:color w:val="auto"/>
          <w:sz w:val="20"/>
          <w:szCs w:val="20"/>
          <w:lang w:val="fr-FR"/>
        </w:rPr>
      </w:pPr>
    </w:p>
    <w:p w:rsidR="00B55F7E" w:rsidRPr="00B55F7E" w:rsidRDefault="00B55F7E" w:rsidP="00B55F7E">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B55F7E">
        <w:rPr>
          <w:rFonts w:ascii="Arial" w:hAnsi="Arial" w:cs="Arial"/>
          <w:color w:val="auto"/>
          <w:sz w:val="20"/>
          <w:szCs w:val="20"/>
          <w:lang w:val="fr-FR"/>
        </w:rPr>
        <w:t>Activit</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s conjointes en Arabie Saoudite en mati</w:t>
      </w:r>
      <w:r w:rsidRPr="00B55F7E">
        <w:rPr>
          <w:rFonts w:ascii="Arial" w:hAnsi="Arial" w:cs="Arial" w:hint="eastAsia"/>
          <w:color w:val="auto"/>
          <w:sz w:val="20"/>
          <w:szCs w:val="20"/>
          <w:lang w:val="fr-FR"/>
        </w:rPr>
        <w:t>è</w:t>
      </w:r>
      <w:r w:rsidRPr="00B55F7E">
        <w:rPr>
          <w:rFonts w:ascii="Arial" w:hAnsi="Arial" w:cs="Arial"/>
          <w:color w:val="auto"/>
          <w:sz w:val="20"/>
          <w:szCs w:val="20"/>
          <w:lang w:val="fr-FR"/>
        </w:rPr>
        <w:t>re de ventes de solutions et de services de mesure pour les industries du P</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trole &amp; du Gaz, des Mines, de la P</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trochimie et de la Chimie</w:t>
      </w:r>
    </w:p>
    <w:p w:rsidR="00B55F7E" w:rsidRPr="004D10BD" w:rsidRDefault="00B55F7E" w:rsidP="00B55F7E">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B55F7E">
        <w:rPr>
          <w:rFonts w:ascii="Arial" w:hAnsi="Arial" w:cs="Arial"/>
          <w:color w:val="auto"/>
          <w:sz w:val="20"/>
          <w:szCs w:val="20"/>
          <w:lang w:val="fr-FR"/>
        </w:rPr>
        <w:t xml:space="preserve">Ouverture du Bureau de Vente en Partenariat KROHNE </w:t>
      </w:r>
      <w:r w:rsidRPr="00B55F7E">
        <w:rPr>
          <w:rFonts w:ascii="Arial" w:hAnsi="Arial" w:cs="Arial" w:hint="eastAsia"/>
          <w:color w:val="auto"/>
          <w:sz w:val="20"/>
          <w:szCs w:val="20"/>
          <w:lang w:val="fr-FR"/>
        </w:rPr>
        <w:t>à</w:t>
      </w:r>
      <w:r w:rsidRPr="00B55F7E">
        <w:rPr>
          <w:rFonts w:ascii="Arial" w:hAnsi="Arial" w:cs="Arial"/>
          <w:color w:val="auto"/>
          <w:sz w:val="20"/>
          <w:szCs w:val="20"/>
          <w:lang w:val="fr-FR"/>
        </w:rPr>
        <w:t xml:space="preserve"> </w:t>
      </w:r>
      <w:proofErr w:type="spellStart"/>
      <w:r w:rsidRPr="00B55F7E">
        <w:rPr>
          <w:rFonts w:ascii="Arial" w:hAnsi="Arial" w:cs="Arial"/>
          <w:color w:val="auto"/>
          <w:sz w:val="20"/>
          <w:szCs w:val="20"/>
          <w:lang w:val="fr-FR"/>
        </w:rPr>
        <w:t>Jubail</w:t>
      </w:r>
      <w:proofErr w:type="spellEnd"/>
      <w:r w:rsidRPr="00B55F7E">
        <w:rPr>
          <w:rFonts w:ascii="Arial" w:hAnsi="Arial" w:cs="Arial"/>
          <w:color w:val="auto"/>
          <w:sz w:val="20"/>
          <w:szCs w:val="20"/>
          <w:lang w:val="fr-FR"/>
        </w:rPr>
        <w:t>, Royaume d'Arabie Saoudite</w:t>
      </w:r>
    </w:p>
    <w:p w:rsidR="00AD5F96" w:rsidRPr="00D91009" w:rsidRDefault="00AD5F96" w:rsidP="00D91009">
      <w:pPr>
        <w:adjustRightInd w:val="0"/>
        <w:spacing w:line="288" w:lineRule="auto"/>
        <w:ind w:right="495"/>
        <w:jc w:val="both"/>
        <w:rPr>
          <w:rFonts w:ascii="Arial" w:hAnsi="Arial" w:cs="Arial"/>
          <w:color w:val="auto"/>
          <w:sz w:val="20"/>
          <w:szCs w:val="20"/>
          <w:lang w:val="fr-FR"/>
        </w:rPr>
      </w:pPr>
    </w:p>
    <w:p w:rsidR="00B55F7E" w:rsidRDefault="00B55F7E" w:rsidP="00B55F7E">
      <w:pPr>
        <w:adjustRightInd w:val="0"/>
        <w:spacing w:line="288" w:lineRule="auto"/>
        <w:ind w:right="495"/>
        <w:jc w:val="both"/>
        <w:rPr>
          <w:rFonts w:ascii="Arial" w:hAnsi="Arial" w:cs="Arial"/>
          <w:color w:val="auto"/>
          <w:sz w:val="20"/>
          <w:szCs w:val="20"/>
          <w:lang w:val="fr-FR"/>
        </w:rPr>
      </w:pPr>
      <w:r w:rsidRPr="00B55F7E">
        <w:rPr>
          <w:rFonts w:ascii="Arial" w:hAnsi="Arial" w:cs="Arial"/>
          <w:color w:val="auto"/>
          <w:sz w:val="20"/>
          <w:szCs w:val="20"/>
          <w:lang w:val="fr-FR"/>
        </w:rPr>
        <w:t xml:space="preserve">Le 3 mars, </w:t>
      </w:r>
      <w:proofErr w:type="spellStart"/>
      <w:r w:rsidRPr="00B55F7E">
        <w:rPr>
          <w:rFonts w:ascii="Arial" w:hAnsi="Arial" w:cs="Arial"/>
          <w:color w:val="auto"/>
          <w:sz w:val="20"/>
          <w:szCs w:val="20"/>
          <w:lang w:val="fr-FR"/>
        </w:rPr>
        <w:t>Arabian</w:t>
      </w:r>
      <w:proofErr w:type="spellEnd"/>
      <w:r w:rsidRPr="00B55F7E">
        <w:rPr>
          <w:rFonts w:ascii="Arial" w:hAnsi="Arial" w:cs="Arial"/>
          <w:color w:val="auto"/>
          <w:sz w:val="20"/>
          <w:szCs w:val="20"/>
          <w:lang w:val="fr-FR"/>
        </w:rPr>
        <w:t xml:space="preserve"> Pipeline &amp; Services Co. Ltd (ANABEEB) et KROHNE ont sign</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 un accord de coop</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ration concernant les </w:t>
      </w:r>
      <w:r w:rsidRPr="00BE31A5">
        <w:rPr>
          <w:rFonts w:ascii="Arial" w:hAnsi="Arial" w:cs="Arial"/>
          <w:b/>
          <w:color w:val="auto"/>
          <w:sz w:val="20"/>
          <w:szCs w:val="20"/>
          <w:lang w:val="fr-FR"/>
        </w:rPr>
        <w:t>activit</w:t>
      </w:r>
      <w:r w:rsidRPr="00BE31A5">
        <w:rPr>
          <w:rFonts w:ascii="Arial" w:hAnsi="Arial" w:cs="Arial" w:hint="eastAsia"/>
          <w:b/>
          <w:color w:val="auto"/>
          <w:sz w:val="20"/>
          <w:szCs w:val="20"/>
          <w:lang w:val="fr-FR"/>
        </w:rPr>
        <w:t>é</w:t>
      </w:r>
      <w:r w:rsidRPr="00BE31A5">
        <w:rPr>
          <w:rFonts w:ascii="Arial" w:hAnsi="Arial" w:cs="Arial"/>
          <w:b/>
          <w:color w:val="auto"/>
          <w:sz w:val="20"/>
          <w:szCs w:val="20"/>
          <w:lang w:val="fr-FR"/>
        </w:rPr>
        <w:t>s de vente conjointes en Arabie Saoudite</w:t>
      </w:r>
      <w:r w:rsidRPr="00B55F7E">
        <w:rPr>
          <w:rFonts w:ascii="Arial" w:hAnsi="Arial" w:cs="Arial"/>
          <w:color w:val="auto"/>
          <w:sz w:val="20"/>
          <w:szCs w:val="20"/>
          <w:lang w:val="fr-FR"/>
        </w:rPr>
        <w:t>. L'accord inclut les activit</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s commerciales dans les industries du </w:t>
      </w:r>
      <w:r w:rsidRPr="0033303D">
        <w:rPr>
          <w:rFonts w:ascii="Arial" w:hAnsi="Arial" w:cs="Arial"/>
          <w:b/>
          <w:color w:val="auto"/>
          <w:sz w:val="20"/>
          <w:szCs w:val="20"/>
          <w:lang w:val="fr-FR"/>
        </w:rPr>
        <w:t>P</w:t>
      </w:r>
      <w:r w:rsidRPr="0033303D">
        <w:rPr>
          <w:rFonts w:ascii="Arial" w:hAnsi="Arial" w:cs="Arial" w:hint="eastAsia"/>
          <w:b/>
          <w:color w:val="auto"/>
          <w:sz w:val="20"/>
          <w:szCs w:val="20"/>
          <w:lang w:val="fr-FR"/>
        </w:rPr>
        <w:t>é</w:t>
      </w:r>
      <w:r w:rsidRPr="0033303D">
        <w:rPr>
          <w:rFonts w:ascii="Arial" w:hAnsi="Arial" w:cs="Arial"/>
          <w:b/>
          <w:color w:val="auto"/>
          <w:sz w:val="20"/>
          <w:szCs w:val="20"/>
          <w:lang w:val="fr-FR"/>
        </w:rPr>
        <w:t>trole &amp; du Gaz, des Mines, ainsi que dans celles de la P</w:t>
      </w:r>
      <w:r w:rsidRPr="0033303D">
        <w:rPr>
          <w:rFonts w:ascii="Arial" w:hAnsi="Arial" w:cs="Arial" w:hint="eastAsia"/>
          <w:b/>
          <w:color w:val="auto"/>
          <w:sz w:val="20"/>
          <w:szCs w:val="20"/>
          <w:lang w:val="fr-FR"/>
        </w:rPr>
        <w:t>é</w:t>
      </w:r>
      <w:r w:rsidRPr="0033303D">
        <w:rPr>
          <w:rFonts w:ascii="Arial" w:hAnsi="Arial" w:cs="Arial"/>
          <w:b/>
          <w:color w:val="auto"/>
          <w:sz w:val="20"/>
          <w:szCs w:val="20"/>
          <w:lang w:val="fr-FR"/>
        </w:rPr>
        <w:t>trochimie et de la Chimie</w:t>
      </w:r>
      <w:r w:rsidRPr="00B55F7E">
        <w:rPr>
          <w:rFonts w:ascii="Arial" w:hAnsi="Arial" w:cs="Arial"/>
          <w:color w:val="auto"/>
          <w:sz w:val="20"/>
          <w:szCs w:val="20"/>
          <w:lang w:val="fr-FR"/>
        </w:rPr>
        <w:t>.</w:t>
      </w:r>
    </w:p>
    <w:p w:rsidR="00B55F7E" w:rsidRPr="00B55F7E" w:rsidRDefault="00B55F7E" w:rsidP="00B55F7E">
      <w:pPr>
        <w:adjustRightInd w:val="0"/>
        <w:spacing w:line="288" w:lineRule="auto"/>
        <w:ind w:right="495"/>
        <w:jc w:val="both"/>
        <w:rPr>
          <w:rFonts w:ascii="Arial" w:hAnsi="Arial" w:cs="Arial"/>
          <w:color w:val="auto"/>
          <w:sz w:val="20"/>
          <w:szCs w:val="20"/>
          <w:lang w:val="fr-FR"/>
        </w:rPr>
      </w:pPr>
    </w:p>
    <w:p w:rsidR="00B55F7E" w:rsidRDefault="00B55F7E" w:rsidP="00B55F7E">
      <w:pPr>
        <w:adjustRightInd w:val="0"/>
        <w:spacing w:line="288" w:lineRule="auto"/>
        <w:ind w:right="495"/>
        <w:jc w:val="both"/>
        <w:rPr>
          <w:rFonts w:ascii="Arial" w:hAnsi="Arial" w:cs="Arial"/>
          <w:color w:val="auto"/>
          <w:sz w:val="20"/>
          <w:szCs w:val="20"/>
          <w:lang w:val="fr-FR"/>
        </w:rPr>
      </w:pPr>
      <w:proofErr w:type="spellStart"/>
      <w:r w:rsidRPr="00B55F7E">
        <w:rPr>
          <w:rFonts w:ascii="Arial" w:hAnsi="Arial" w:cs="Arial"/>
          <w:color w:val="auto"/>
          <w:sz w:val="20"/>
          <w:szCs w:val="20"/>
          <w:lang w:val="fr-FR"/>
        </w:rPr>
        <w:t>Hashim</w:t>
      </w:r>
      <w:proofErr w:type="spellEnd"/>
      <w:r w:rsidRPr="00B55F7E">
        <w:rPr>
          <w:rFonts w:ascii="Arial" w:hAnsi="Arial" w:cs="Arial"/>
          <w:color w:val="auto"/>
          <w:sz w:val="20"/>
          <w:szCs w:val="20"/>
          <w:lang w:val="fr-FR"/>
        </w:rPr>
        <w:t xml:space="preserve"> </w:t>
      </w:r>
      <w:proofErr w:type="spellStart"/>
      <w:r w:rsidRPr="00B55F7E">
        <w:rPr>
          <w:rFonts w:ascii="Arial" w:hAnsi="Arial" w:cs="Arial"/>
          <w:color w:val="auto"/>
          <w:sz w:val="20"/>
          <w:szCs w:val="20"/>
          <w:lang w:val="fr-FR"/>
        </w:rPr>
        <w:t>Moraisel</w:t>
      </w:r>
      <w:proofErr w:type="spellEnd"/>
      <w:r w:rsidRPr="00B55F7E">
        <w:rPr>
          <w:rFonts w:ascii="Arial" w:hAnsi="Arial" w:cs="Arial"/>
          <w:color w:val="auto"/>
          <w:sz w:val="20"/>
          <w:szCs w:val="20"/>
          <w:lang w:val="fr-FR"/>
        </w:rPr>
        <w:t>, Directeur G</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n</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ral d'ANABEEB et Stephan Neuburger, Directeur G</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n</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ral du Groupe KROHNE, ont paraph</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 chacun l'accord de leur main, marquant l'ouverture officielle du Bureau de Vente en Partenariat KROHNE, </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tabli dans la ville industrielle de </w:t>
      </w:r>
      <w:proofErr w:type="spellStart"/>
      <w:r w:rsidRPr="00B55F7E">
        <w:rPr>
          <w:rFonts w:ascii="Arial" w:hAnsi="Arial" w:cs="Arial"/>
          <w:color w:val="auto"/>
          <w:sz w:val="20"/>
          <w:szCs w:val="20"/>
          <w:lang w:val="fr-FR"/>
        </w:rPr>
        <w:t>Jubail</w:t>
      </w:r>
      <w:proofErr w:type="spellEnd"/>
      <w:r w:rsidRPr="00B55F7E">
        <w:rPr>
          <w:rFonts w:ascii="Arial" w:hAnsi="Arial" w:cs="Arial"/>
          <w:color w:val="auto"/>
          <w:sz w:val="20"/>
          <w:szCs w:val="20"/>
          <w:lang w:val="fr-FR"/>
        </w:rPr>
        <w:t>, en Arabie Saoudite.</w:t>
      </w:r>
    </w:p>
    <w:p w:rsidR="00B55F7E" w:rsidRPr="00B55F7E" w:rsidRDefault="00B55F7E" w:rsidP="00B55F7E">
      <w:pPr>
        <w:adjustRightInd w:val="0"/>
        <w:spacing w:line="288" w:lineRule="auto"/>
        <w:ind w:right="495"/>
        <w:jc w:val="both"/>
        <w:rPr>
          <w:rFonts w:ascii="Arial" w:hAnsi="Arial" w:cs="Arial"/>
          <w:color w:val="auto"/>
          <w:sz w:val="20"/>
          <w:szCs w:val="20"/>
          <w:lang w:val="fr-FR"/>
        </w:rPr>
      </w:pPr>
    </w:p>
    <w:p w:rsidR="00B55F7E" w:rsidRDefault="00B55F7E" w:rsidP="00B55F7E">
      <w:pPr>
        <w:adjustRightInd w:val="0"/>
        <w:spacing w:line="288" w:lineRule="auto"/>
        <w:ind w:right="495"/>
        <w:jc w:val="both"/>
        <w:rPr>
          <w:rFonts w:ascii="Arial" w:hAnsi="Arial" w:cs="Arial"/>
          <w:color w:val="auto"/>
          <w:sz w:val="20"/>
          <w:szCs w:val="20"/>
          <w:lang w:val="fr-FR"/>
        </w:rPr>
      </w:pPr>
      <w:r w:rsidRPr="00B55F7E">
        <w:rPr>
          <w:rFonts w:ascii="Arial" w:hAnsi="Arial" w:cs="Arial" w:hint="eastAsia"/>
          <w:color w:val="auto"/>
          <w:sz w:val="20"/>
          <w:szCs w:val="20"/>
          <w:lang w:val="fr-FR"/>
        </w:rPr>
        <w:t>«</w:t>
      </w:r>
      <w:r w:rsidRPr="00B55F7E">
        <w:rPr>
          <w:rFonts w:ascii="Arial" w:hAnsi="Arial" w:cs="Arial"/>
          <w:color w:val="auto"/>
          <w:sz w:val="20"/>
          <w:szCs w:val="20"/>
          <w:lang w:val="fr-FR"/>
        </w:rPr>
        <w:t xml:space="preserve"> Avec KROHNE, nous donnons encore plus de port</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e </w:t>
      </w:r>
      <w:r w:rsidRPr="00B55F7E">
        <w:rPr>
          <w:rFonts w:ascii="Arial" w:hAnsi="Arial" w:cs="Arial" w:hint="eastAsia"/>
          <w:color w:val="auto"/>
          <w:sz w:val="20"/>
          <w:szCs w:val="20"/>
          <w:lang w:val="fr-FR"/>
        </w:rPr>
        <w:t>à</w:t>
      </w:r>
      <w:r w:rsidRPr="00B55F7E">
        <w:rPr>
          <w:rFonts w:ascii="Arial" w:hAnsi="Arial" w:cs="Arial"/>
          <w:color w:val="auto"/>
          <w:sz w:val="20"/>
          <w:szCs w:val="20"/>
          <w:lang w:val="fr-FR"/>
        </w:rPr>
        <w:t xml:space="preserve"> la solution </w:t>
      </w:r>
      <w:r w:rsidRPr="00B55F7E">
        <w:rPr>
          <w:rFonts w:ascii="Arial" w:hAnsi="Arial" w:cs="Arial" w:hint="eastAsia"/>
          <w:color w:val="auto"/>
          <w:sz w:val="20"/>
          <w:szCs w:val="20"/>
          <w:lang w:val="fr-FR"/>
        </w:rPr>
        <w:t>«</w:t>
      </w:r>
      <w:r w:rsidRPr="00B55F7E">
        <w:rPr>
          <w:rFonts w:ascii="Arial" w:hAnsi="Arial" w:cs="Arial"/>
          <w:color w:val="auto"/>
          <w:sz w:val="20"/>
          <w:szCs w:val="20"/>
          <w:lang w:val="fr-FR"/>
        </w:rPr>
        <w:t xml:space="preserve"> guichet unique </w:t>
      </w:r>
      <w:r w:rsidRPr="00B55F7E">
        <w:rPr>
          <w:rFonts w:ascii="Arial" w:hAnsi="Arial" w:cs="Arial" w:hint="eastAsia"/>
          <w:color w:val="auto"/>
          <w:sz w:val="20"/>
          <w:szCs w:val="20"/>
          <w:lang w:val="fr-FR"/>
        </w:rPr>
        <w:t>»</w:t>
      </w:r>
      <w:r w:rsidRPr="00B55F7E">
        <w:rPr>
          <w:rFonts w:ascii="Arial" w:hAnsi="Arial" w:cs="Arial"/>
          <w:color w:val="auto"/>
          <w:sz w:val="20"/>
          <w:szCs w:val="20"/>
          <w:lang w:val="fr-FR"/>
        </w:rPr>
        <w:t xml:space="preserve"> d'ANABEEB </w:t>
      </w:r>
      <w:r w:rsidRPr="00B55F7E">
        <w:rPr>
          <w:rFonts w:ascii="Arial" w:hAnsi="Arial" w:cs="Arial" w:hint="eastAsia"/>
          <w:color w:val="auto"/>
          <w:sz w:val="20"/>
          <w:szCs w:val="20"/>
          <w:lang w:val="fr-FR"/>
        </w:rPr>
        <w:t>à</w:t>
      </w:r>
      <w:r w:rsidRPr="00B55F7E">
        <w:rPr>
          <w:rFonts w:ascii="Arial" w:hAnsi="Arial" w:cs="Arial"/>
          <w:color w:val="auto"/>
          <w:sz w:val="20"/>
          <w:szCs w:val="20"/>
          <w:lang w:val="fr-FR"/>
        </w:rPr>
        <w:t xml:space="preserve"> l'attention de nos clients du Royaume d'Arabie Saoudite, tels que </w:t>
      </w:r>
      <w:proofErr w:type="spellStart"/>
      <w:r w:rsidRPr="00B55F7E">
        <w:rPr>
          <w:rFonts w:ascii="Arial" w:hAnsi="Arial" w:cs="Arial"/>
          <w:color w:val="auto"/>
          <w:sz w:val="20"/>
          <w:szCs w:val="20"/>
          <w:lang w:val="fr-FR"/>
        </w:rPr>
        <w:t>Saudi</w:t>
      </w:r>
      <w:proofErr w:type="spellEnd"/>
      <w:r w:rsidRPr="00B55F7E">
        <w:rPr>
          <w:rFonts w:ascii="Arial" w:hAnsi="Arial" w:cs="Arial"/>
          <w:color w:val="auto"/>
          <w:sz w:val="20"/>
          <w:szCs w:val="20"/>
          <w:lang w:val="fr-FR"/>
        </w:rPr>
        <w:t xml:space="preserve"> </w:t>
      </w:r>
      <w:proofErr w:type="spellStart"/>
      <w:r w:rsidRPr="00B55F7E">
        <w:rPr>
          <w:rFonts w:ascii="Arial" w:hAnsi="Arial" w:cs="Arial"/>
          <w:color w:val="auto"/>
          <w:sz w:val="20"/>
          <w:szCs w:val="20"/>
          <w:lang w:val="fr-FR"/>
        </w:rPr>
        <w:t>Aramco</w:t>
      </w:r>
      <w:proofErr w:type="spellEnd"/>
      <w:r w:rsidRPr="00B55F7E">
        <w:rPr>
          <w:rFonts w:ascii="Arial" w:hAnsi="Arial" w:cs="Arial"/>
          <w:color w:val="auto"/>
          <w:sz w:val="20"/>
          <w:szCs w:val="20"/>
          <w:lang w:val="fr-FR"/>
        </w:rPr>
        <w:t xml:space="preserve"> et SABIC </w:t>
      </w:r>
      <w:r w:rsidRPr="00B55F7E">
        <w:rPr>
          <w:rFonts w:ascii="Arial" w:hAnsi="Arial" w:cs="Arial" w:hint="eastAsia"/>
          <w:color w:val="auto"/>
          <w:sz w:val="20"/>
          <w:szCs w:val="20"/>
          <w:lang w:val="fr-FR"/>
        </w:rPr>
        <w:t>»</w:t>
      </w:r>
      <w:r w:rsidRPr="00B55F7E">
        <w:rPr>
          <w:rFonts w:ascii="Arial" w:hAnsi="Arial" w:cs="Arial"/>
          <w:color w:val="auto"/>
          <w:sz w:val="20"/>
          <w:szCs w:val="20"/>
          <w:lang w:val="fr-FR"/>
        </w:rPr>
        <w:t>, d</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clare </w:t>
      </w:r>
      <w:proofErr w:type="spellStart"/>
      <w:r w:rsidRPr="00B55F7E">
        <w:rPr>
          <w:rFonts w:ascii="Arial" w:hAnsi="Arial" w:cs="Arial"/>
          <w:color w:val="auto"/>
          <w:sz w:val="20"/>
          <w:szCs w:val="20"/>
          <w:lang w:val="fr-FR"/>
        </w:rPr>
        <w:t>Hashim</w:t>
      </w:r>
      <w:proofErr w:type="spellEnd"/>
      <w:r w:rsidRPr="00B55F7E">
        <w:rPr>
          <w:rFonts w:ascii="Arial" w:hAnsi="Arial" w:cs="Arial"/>
          <w:color w:val="auto"/>
          <w:sz w:val="20"/>
          <w:szCs w:val="20"/>
          <w:lang w:val="fr-FR"/>
        </w:rPr>
        <w:t xml:space="preserve"> </w:t>
      </w:r>
      <w:proofErr w:type="spellStart"/>
      <w:r w:rsidRPr="00B55F7E">
        <w:rPr>
          <w:rFonts w:ascii="Arial" w:hAnsi="Arial" w:cs="Arial"/>
          <w:color w:val="auto"/>
          <w:sz w:val="20"/>
          <w:szCs w:val="20"/>
          <w:lang w:val="fr-FR"/>
        </w:rPr>
        <w:t>Moraisel</w:t>
      </w:r>
      <w:proofErr w:type="spellEnd"/>
      <w:r w:rsidRPr="00B55F7E">
        <w:rPr>
          <w:rFonts w:ascii="Arial" w:hAnsi="Arial" w:cs="Arial"/>
          <w:color w:val="auto"/>
          <w:sz w:val="20"/>
          <w:szCs w:val="20"/>
          <w:lang w:val="fr-FR"/>
        </w:rPr>
        <w:t xml:space="preserve">. </w:t>
      </w:r>
      <w:r w:rsidRPr="00B55F7E">
        <w:rPr>
          <w:rFonts w:ascii="Arial" w:hAnsi="Arial" w:cs="Arial" w:hint="eastAsia"/>
          <w:color w:val="auto"/>
          <w:sz w:val="20"/>
          <w:szCs w:val="20"/>
          <w:lang w:val="fr-FR"/>
        </w:rPr>
        <w:t>«</w:t>
      </w:r>
      <w:r w:rsidRPr="00B55F7E">
        <w:rPr>
          <w:rFonts w:ascii="Arial" w:hAnsi="Arial" w:cs="Arial"/>
          <w:color w:val="auto"/>
          <w:sz w:val="20"/>
          <w:szCs w:val="20"/>
          <w:lang w:val="fr-FR"/>
        </w:rPr>
        <w:t xml:space="preserve"> Les produits et services de KROHNE constituent, pour nos clients, une valeur ajout</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e hors-pair dans un domaine qu'ANABEEB ne couvre qu'en partie actuellement. Nos installations Ventes &amp; Production locales en association avec les Solutions Clients Haut de gamme de KROHNE vont, cette ann</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e, renforcer les liens entre les deux soci</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t</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s et </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tablir les bases d'un succ</w:t>
      </w:r>
      <w:r w:rsidRPr="00B55F7E">
        <w:rPr>
          <w:rFonts w:ascii="Arial" w:hAnsi="Arial" w:cs="Arial" w:hint="eastAsia"/>
          <w:color w:val="auto"/>
          <w:sz w:val="20"/>
          <w:szCs w:val="20"/>
          <w:lang w:val="fr-FR"/>
        </w:rPr>
        <w:t>è</w:t>
      </w:r>
      <w:r w:rsidRPr="00B55F7E">
        <w:rPr>
          <w:rFonts w:ascii="Arial" w:hAnsi="Arial" w:cs="Arial"/>
          <w:color w:val="auto"/>
          <w:sz w:val="20"/>
          <w:szCs w:val="20"/>
          <w:lang w:val="fr-FR"/>
        </w:rPr>
        <w:t>s assur</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 pour de nombreuses ann</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es. </w:t>
      </w:r>
      <w:r w:rsidRPr="00B55F7E">
        <w:rPr>
          <w:rFonts w:ascii="Arial" w:hAnsi="Arial" w:cs="Arial" w:hint="eastAsia"/>
          <w:color w:val="auto"/>
          <w:sz w:val="20"/>
          <w:szCs w:val="20"/>
          <w:lang w:val="fr-FR"/>
        </w:rPr>
        <w:t>»</w:t>
      </w:r>
    </w:p>
    <w:p w:rsidR="00B55F7E" w:rsidRPr="00B55F7E" w:rsidRDefault="00B55F7E" w:rsidP="00B55F7E">
      <w:pPr>
        <w:adjustRightInd w:val="0"/>
        <w:spacing w:line="288" w:lineRule="auto"/>
        <w:ind w:right="495"/>
        <w:jc w:val="both"/>
        <w:rPr>
          <w:rFonts w:ascii="Arial" w:hAnsi="Arial" w:cs="Arial"/>
          <w:color w:val="auto"/>
          <w:sz w:val="20"/>
          <w:szCs w:val="20"/>
          <w:lang w:val="fr-FR"/>
        </w:rPr>
      </w:pPr>
    </w:p>
    <w:p w:rsidR="00B55F7E" w:rsidRDefault="00B55F7E" w:rsidP="00B55F7E">
      <w:pPr>
        <w:adjustRightInd w:val="0"/>
        <w:spacing w:line="288" w:lineRule="auto"/>
        <w:ind w:right="495"/>
        <w:jc w:val="both"/>
        <w:rPr>
          <w:rFonts w:ascii="Arial" w:hAnsi="Arial" w:cs="Arial"/>
          <w:color w:val="auto"/>
          <w:sz w:val="20"/>
          <w:szCs w:val="20"/>
          <w:lang w:val="fr-FR"/>
        </w:rPr>
      </w:pPr>
      <w:r w:rsidRPr="00B55F7E">
        <w:rPr>
          <w:rFonts w:ascii="Arial" w:hAnsi="Arial" w:cs="Arial" w:hint="eastAsia"/>
          <w:color w:val="auto"/>
          <w:sz w:val="20"/>
          <w:szCs w:val="20"/>
          <w:lang w:val="fr-FR"/>
        </w:rPr>
        <w:t>«</w:t>
      </w:r>
      <w:r w:rsidRPr="00B55F7E">
        <w:rPr>
          <w:rFonts w:ascii="Arial" w:hAnsi="Arial" w:cs="Arial"/>
          <w:color w:val="auto"/>
          <w:sz w:val="20"/>
          <w:szCs w:val="20"/>
          <w:lang w:val="fr-FR"/>
        </w:rPr>
        <w:t xml:space="preserve"> Avec ANABEEB, nous disposons d'un partenaire solide pour servir ce march</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 important qu'est l'Arabie Saoudite </w:t>
      </w:r>
      <w:r w:rsidRPr="00B55F7E">
        <w:rPr>
          <w:rFonts w:ascii="Arial" w:hAnsi="Arial" w:cs="Arial" w:hint="eastAsia"/>
          <w:color w:val="auto"/>
          <w:sz w:val="20"/>
          <w:szCs w:val="20"/>
          <w:lang w:val="fr-FR"/>
        </w:rPr>
        <w:t>»</w:t>
      </w:r>
      <w:r w:rsidRPr="00B55F7E">
        <w:rPr>
          <w:rFonts w:ascii="Arial" w:hAnsi="Arial" w:cs="Arial"/>
          <w:color w:val="auto"/>
          <w:sz w:val="20"/>
          <w:szCs w:val="20"/>
          <w:lang w:val="fr-FR"/>
        </w:rPr>
        <w:t xml:space="preserve">, explique Stephan Neuburger. </w:t>
      </w:r>
      <w:r w:rsidRPr="00B55F7E">
        <w:rPr>
          <w:rFonts w:ascii="Arial" w:hAnsi="Arial" w:cs="Arial" w:hint="eastAsia"/>
          <w:color w:val="auto"/>
          <w:sz w:val="20"/>
          <w:szCs w:val="20"/>
          <w:lang w:val="fr-FR"/>
        </w:rPr>
        <w:t>«</w:t>
      </w:r>
      <w:r w:rsidRPr="00B55F7E">
        <w:rPr>
          <w:rFonts w:ascii="Arial" w:hAnsi="Arial" w:cs="Arial"/>
          <w:color w:val="auto"/>
          <w:sz w:val="20"/>
          <w:szCs w:val="20"/>
          <w:lang w:val="fr-FR"/>
        </w:rPr>
        <w:t xml:space="preserve"> Le nouveau Partenariat constitue une </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tape importante pour accro</w:t>
      </w:r>
      <w:r w:rsidRPr="00B55F7E">
        <w:rPr>
          <w:rFonts w:ascii="Arial" w:hAnsi="Arial" w:cs="Arial" w:hint="eastAsia"/>
          <w:color w:val="auto"/>
          <w:sz w:val="20"/>
          <w:szCs w:val="20"/>
          <w:lang w:val="fr-FR"/>
        </w:rPr>
        <w:t>î</w:t>
      </w:r>
      <w:r w:rsidRPr="00B55F7E">
        <w:rPr>
          <w:rFonts w:ascii="Arial" w:hAnsi="Arial" w:cs="Arial"/>
          <w:color w:val="auto"/>
          <w:sz w:val="20"/>
          <w:szCs w:val="20"/>
          <w:lang w:val="fr-FR"/>
        </w:rPr>
        <w:t>tre notre pr</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sence, et donc notre visibilit</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 au Moyen-Orient. Il est, pour KROHNE, de la plus haute importance que nous comprenions l'application du client, et c'est uniquement par une pr</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sence locale que nous pouvons identifier leurs besoins et proposer une solution comp</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titive. Nous </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tions </w:t>
      </w:r>
      <w:r w:rsidRPr="00B55F7E">
        <w:rPr>
          <w:rFonts w:ascii="Arial" w:hAnsi="Arial" w:cs="Arial" w:hint="eastAsia"/>
          <w:color w:val="auto"/>
          <w:sz w:val="20"/>
          <w:szCs w:val="20"/>
          <w:lang w:val="fr-FR"/>
        </w:rPr>
        <w:t>à</w:t>
      </w:r>
      <w:r w:rsidRPr="00B55F7E">
        <w:rPr>
          <w:rFonts w:ascii="Arial" w:hAnsi="Arial" w:cs="Arial"/>
          <w:color w:val="auto"/>
          <w:sz w:val="20"/>
          <w:szCs w:val="20"/>
          <w:lang w:val="fr-FR"/>
        </w:rPr>
        <w:t xml:space="preserve"> la recherche d'un partenaire fiable et cr</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dible et nous sommes convaincus, avec ANABEEB, de l'avoir trouv</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 </w:t>
      </w:r>
      <w:r w:rsidRPr="00B55F7E">
        <w:rPr>
          <w:rFonts w:ascii="Arial" w:hAnsi="Arial" w:cs="Arial" w:hint="eastAsia"/>
          <w:color w:val="auto"/>
          <w:sz w:val="20"/>
          <w:szCs w:val="20"/>
          <w:lang w:val="fr-FR"/>
        </w:rPr>
        <w:t>»</w:t>
      </w:r>
      <w:r w:rsidRPr="00B55F7E">
        <w:rPr>
          <w:rFonts w:ascii="Arial" w:hAnsi="Arial" w:cs="Arial"/>
          <w:color w:val="auto"/>
          <w:sz w:val="20"/>
          <w:szCs w:val="20"/>
          <w:lang w:val="fr-FR"/>
        </w:rPr>
        <w:t>.</w:t>
      </w:r>
    </w:p>
    <w:p w:rsidR="00B55F7E" w:rsidRPr="00B55F7E" w:rsidRDefault="00B55F7E" w:rsidP="00B55F7E">
      <w:pPr>
        <w:adjustRightInd w:val="0"/>
        <w:spacing w:line="288" w:lineRule="auto"/>
        <w:ind w:right="495"/>
        <w:jc w:val="both"/>
        <w:rPr>
          <w:rFonts w:ascii="Arial" w:hAnsi="Arial" w:cs="Arial"/>
          <w:color w:val="auto"/>
          <w:sz w:val="20"/>
          <w:szCs w:val="20"/>
          <w:lang w:val="fr-FR"/>
        </w:rPr>
      </w:pPr>
    </w:p>
    <w:p w:rsidR="00B55F7E" w:rsidRDefault="00B55F7E" w:rsidP="00B55F7E">
      <w:pPr>
        <w:adjustRightInd w:val="0"/>
        <w:spacing w:line="288" w:lineRule="auto"/>
        <w:ind w:right="495"/>
        <w:jc w:val="both"/>
        <w:rPr>
          <w:rFonts w:ascii="Arial" w:hAnsi="Arial" w:cs="Arial"/>
          <w:color w:val="auto"/>
          <w:sz w:val="20"/>
          <w:szCs w:val="20"/>
          <w:lang w:val="fr-FR"/>
        </w:rPr>
      </w:pP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paul</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 par le bureau Moyen-Orient de KROHNE </w:t>
      </w:r>
      <w:r w:rsidRPr="00B55F7E">
        <w:rPr>
          <w:rFonts w:ascii="Arial" w:hAnsi="Arial" w:cs="Arial" w:hint="eastAsia"/>
          <w:color w:val="auto"/>
          <w:sz w:val="20"/>
          <w:szCs w:val="20"/>
          <w:lang w:val="fr-FR"/>
        </w:rPr>
        <w:t>à</w:t>
      </w:r>
      <w:r w:rsidRPr="00B55F7E">
        <w:rPr>
          <w:rFonts w:ascii="Arial" w:hAnsi="Arial" w:cs="Arial"/>
          <w:color w:val="auto"/>
          <w:sz w:val="20"/>
          <w:szCs w:val="20"/>
          <w:lang w:val="fr-FR"/>
        </w:rPr>
        <w:t xml:space="preserve"> Duba</w:t>
      </w:r>
      <w:r w:rsidRPr="00B55F7E">
        <w:rPr>
          <w:rFonts w:ascii="Arial" w:hAnsi="Arial" w:cs="Arial" w:hint="eastAsia"/>
          <w:color w:val="auto"/>
          <w:sz w:val="20"/>
          <w:szCs w:val="20"/>
          <w:lang w:val="fr-FR"/>
        </w:rPr>
        <w:t>ï</w:t>
      </w:r>
      <w:r w:rsidRPr="00B55F7E">
        <w:rPr>
          <w:rFonts w:ascii="Arial" w:hAnsi="Arial" w:cs="Arial"/>
          <w:color w:val="auto"/>
          <w:sz w:val="20"/>
          <w:szCs w:val="20"/>
          <w:lang w:val="fr-FR"/>
        </w:rPr>
        <w:t>, et qui existe depuis plus d'une d</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cennie, le bureau de </w:t>
      </w:r>
      <w:proofErr w:type="spellStart"/>
      <w:r w:rsidRPr="00B55F7E">
        <w:rPr>
          <w:rFonts w:ascii="Arial" w:hAnsi="Arial" w:cs="Arial"/>
          <w:color w:val="auto"/>
          <w:sz w:val="20"/>
          <w:szCs w:val="20"/>
          <w:lang w:val="fr-FR"/>
        </w:rPr>
        <w:t>Jubail</w:t>
      </w:r>
      <w:proofErr w:type="spellEnd"/>
      <w:r w:rsidRPr="00B55F7E">
        <w:rPr>
          <w:rFonts w:ascii="Arial" w:hAnsi="Arial" w:cs="Arial"/>
          <w:color w:val="auto"/>
          <w:sz w:val="20"/>
          <w:szCs w:val="20"/>
          <w:lang w:val="fr-FR"/>
        </w:rPr>
        <w:t xml:space="preserve"> servira le march</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 saoudien. Le champ d'application de l'accord inclut tous les </w:t>
      </w:r>
      <w:r w:rsidRPr="00D86C17">
        <w:rPr>
          <w:rFonts w:ascii="Arial" w:hAnsi="Arial" w:cs="Arial"/>
          <w:b/>
          <w:color w:val="auto"/>
          <w:sz w:val="20"/>
          <w:szCs w:val="20"/>
          <w:lang w:val="fr-FR"/>
        </w:rPr>
        <w:t>produits, solutions et services KROHNE li</w:t>
      </w:r>
      <w:r w:rsidRPr="00D86C17">
        <w:rPr>
          <w:rFonts w:ascii="Arial" w:hAnsi="Arial" w:cs="Arial" w:hint="eastAsia"/>
          <w:b/>
          <w:color w:val="auto"/>
          <w:sz w:val="20"/>
          <w:szCs w:val="20"/>
          <w:lang w:val="fr-FR"/>
        </w:rPr>
        <w:t>é</w:t>
      </w:r>
      <w:r w:rsidRPr="00D86C17">
        <w:rPr>
          <w:rFonts w:ascii="Arial" w:hAnsi="Arial" w:cs="Arial"/>
          <w:b/>
          <w:color w:val="auto"/>
          <w:sz w:val="20"/>
          <w:szCs w:val="20"/>
          <w:lang w:val="fr-FR"/>
        </w:rPr>
        <w:t>s au transport et au stockage de produits p</w:t>
      </w:r>
      <w:r w:rsidRPr="00D86C17">
        <w:rPr>
          <w:rFonts w:ascii="Arial" w:hAnsi="Arial" w:cs="Arial" w:hint="eastAsia"/>
          <w:b/>
          <w:color w:val="auto"/>
          <w:sz w:val="20"/>
          <w:szCs w:val="20"/>
          <w:lang w:val="fr-FR"/>
        </w:rPr>
        <w:t>é</w:t>
      </w:r>
      <w:r w:rsidRPr="00D86C17">
        <w:rPr>
          <w:rFonts w:ascii="Arial" w:hAnsi="Arial" w:cs="Arial"/>
          <w:b/>
          <w:color w:val="auto"/>
          <w:sz w:val="20"/>
          <w:szCs w:val="20"/>
          <w:lang w:val="fr-FR"/>
        </w:rPr>
        <w:t>troliers et de gaz</w:t>
      </w:r>
      <w:r w:rsidRPr="00B55F7E">
        <w:rPr>
          <w:rFonts w:ascii="Arial" w:hAnsi="Arial" w:cs="Arial"/>
          <w:color w:val="auto"/>
          <w:sz w:val="20"/>
          <w:szCs w:val="20"/>
          <w:lang w:val="fr-FR"/>
        </w:rPr>
        <w:t>, tels que la surveillance de pipelines, la d</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tection et la localisation de fuites, voire aussi des syst</w:t>
      </w:r>
      <w:r w:rsidRPr="00B55F7E">
        <w:rPr>
          <w:rFonts w:ascii="Arial" w:hAnsi="Arial" w:cs="Arial" w:hint="eastAsia"/>
          <w:color w:val="auto"/>
          <w:sz w:val="20"/>
          <w:szCs w:val="20"/>
          <w:lang w:val="fr-FR"/>
        </w:rPr>
        <w:t>è</w:t>
      </w:r>
      <w:r w:rsidRPr="00B55F7E">
        <w:rPr>
          <w:rFonts w:ascii="Arial" w:hAnsi="Arial" w:cs="Arial"/>
          <w:color w:val="auto"/>
          <w:sz w:val="20"/>
          <w:szCs w:val="20"/>
          <w:lang w:val="fr-FR"/>
        </w:rPr>
        <w:t xml:space="preserve">mes de mesure pour liquides et gaz. Sont </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galement concern</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es, les applications de </w:t>
      </w:r>
      <w:proofErr w:type="spellStart"/>
      <w:r w:rsidRPr="00D86C17">
        <w:rPr>
          <w:rFonts w:ascii="Arial" w:hAnsi="Arial" w:cs="Arial"/>
          <w:b/>
          <w:color w:val="auto"/>
          <w:sz w:val="20"/>
          <w:szCs w:val="20"/>
          <w:lang w:val="fr-FR"/>
        </w:rPr>
        <w:t>process</w:t>
      </w:r>
      <w:proofErr w:type="spellEnd"/>
      <w:r w:rsidRPr="00D86C17">
        <w:rPr>
          <w:rFonts w:ascii="Arial" w:hAnsi="Arial" w:cs="Arial"/>
          <w:b/>
          <w:color w:val="auto"/>
          <w:sz w:val="20"/>
          <w:szCs w:val="20"/>
          <w:lang w:val="fr-FR"/>
        </w:rPr>
        <w:t xml:space="preserve"> dans le secteur minier</w:t>
      </w:r>
      <w:r w:rsidRPr="00B55F7E">
        <w:rPr>
          <w:rFonts w:ascii="Arial" w:hAnsi="Arial" w:cs="Arial"/>
          <w:color w:val="auto"/>
          <w:sz w:val="20"/>
          <w:szCs w:val="20"/>
          <w:lang w:val="fr-FR"/>
        </w:rPr>
        <w:t xml:space="preserve">, par exemple, le dosage de boues </w:t>
      </w:r>
      <w:r w:rsidRPr="00B55F7E">
        <w:rPr>
          <w:rFonts w:ascii="Arial" w:hAnsi="Arial" w:cs="Arial" w:hint="eastAsia"/>
          <w:color w:val="auto"/>
          <w:sz w:val="20"/>
          <w:szCs w:val="20"/>
          <w:lang w:val="fr-FR"/>
        </w:rPr>
        <w:t>à</w:t>
      </w:r>
      <w:r w:rsidRPr="00B55F7E">
        <w:rPr>
          <w:rFonts w:ascii="Arial" w:hAnsi="Arial" w:cs="Arial"/>
          <w:color w:val="auto"/>
          <w:sz w:val="20"/>
          <w:szCs w:val="20"/>
          <w:lang w:val="fr-FR"/>
        </w:rPr>
        <w:t xml:space="preserve"> forte teneur en solides ou le stockage de mati</w:t>
      </w:r>
      <w:r w:rsidRPr="00B55F7E">
        <w:rPr>
          <w:rFonts w:ascii="Arial" w:hAnsi="Arial" w:cs="Arial" w:hint="eastAsia"/>
          <w:color w:val="auto"/>
          <w:sz w:val="20"/>
          <w:szCs w:val="20"/>
          <w:lang w:val="fr-FR"/>
        </w:rPr>
        <w:t>è</w:t>
      </w:r>
      <w:r w:rsidRPr="00B55F7E">
        <w:rPr>
          <w:rFonts w:ascii="Arial" w:hAnsi="Arial" w:cs="Arial"/>
          <w:color w:val="auto"/>
          <w:sz w:val="20"/>
          <w:szCs w:val="20"/>
          <w:lang w:val="fr-FR"/>
        </w:rPr>
        <w:t>res solides.</w:t>
      </w:r>
    </w:p>
    <w:p w:rsidR="00B55F7E" w:rsidRPr="00B55F7E" w:rsidRDefault="00B55F7E" w:rsidP="00B55F7E">
      <w:pPr>
        <w:adjustRightInd w:val="0"/>
        <w:spacing w:line="288" w:lineRule="auto"/>
        <w:ind w:right="495"/>
        <w:jc w:val="both"/>
        <w:rPr>
          <w:rFonts w:ascii="Arial" w:hAnsi="Arial" w:cs="Arial"/>
          <w:color w:val="auto"/>
          <w:sz w:val="20"/>
          <w:szCs w:val="20"/>
          <w:lang w:val="fr-FR"/>
        </w:rPr>
      </w:pPr>
      <w:bookmarkStart w:id="0" w:name="_GoBack"/>
      <w:bookmarkEnd w:id="0"/>
    </w:p>
    <w:p w:rsidR="001E7900" w:rsidRDefault="00B55F7E" w:rsidP="00B55F7E">
      <w:pPr>
        <w:adjustRightInd w:val="0"/>
        <w:spacing w:line="288" w:lineRule="auto"/>
        <w:ind w:right="495"/>
        <w:jc w:val="both"/>
        <w:rPr>
          <w:rFonts w:ascii="Arial" w:hAnsi="Arial" w:cs="Arial"/>
          <w:color w:val="auto"/>
          <w:sz w:val="20"/>
          <w:szCs w:val="20"/>
          <w:lang w:val="fr-FR"/>
        </w:rPr>
      </w:pPr>
      <w:r w:rsidRPr="00B55F7E">
        <w:rPr>
          <w:rFonts w:ascii="Arial" w:hAnsi="Arial" w:cs="Arial" w:hint="eastAsia"/>
          <w:color w:val="auto"/>
          <w:sz w:val="20"/>
          <w:szCs w:val="20"/>
          <w:lang w:val="fr-FR"/>
        </w:rPr>
        <w:t>À</w:t>
      </w:r>
      <w:r w:rsidRPr="00B55F7E">
        <w:rPr>
          <w:rFonts w:ascii="Arial" w:hAnsi="Arial" w:cs="Arial"/>
          <w:color w:val="auto"/>
          <w:sz w:val="20"/>
          <w:szCs w:val="20"/>
          <w:lang w:val="fr-FR"/>
        </w:rPr>
        <w:t xml:space="preserve"> propos d'ANABEEB</w:t>
      </w:r>
      <w:r>
        <w:rPr>
          <w:rFonts w:ascii="Arial" w:hAnsi="Arial" w:cs="Arial"/>
          <w:color w:val="auto"/>
          <w:sz w:val="20"/>
          <w:szCs w:val="20"/>
          <w:lang w:val="fr-FR"/>
        </w:rPr>
        <w:t xml:space="preserve"> : </w:t>
      </w:r>
      <w:r w:rsidRPr="00B55F7E">
        <w:rPr>
          <w:rFonts w:ascii="Arial" w:hAnsi="Arial" w:cs="Arial"/>
          <w:color w:val="auto"/>
          <w:sz w:val="20"/>
          <w:szCs w:val="20"/>
          <w:lang w:val="fr-FR"/>
        </w:rPr>
        <w:t>Avec plus de 4 500 employ</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s et la flotte la plus importante et la mieux entretenue d'</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quipements europ</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ens et am</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ricains, ANABEEB s'est donn</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 comme mission de fournir des Services de Maintenance pour les soci</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t</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s des secteurs P</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trole &amp; Gaz, Utilitaires &amp; Autres Process. En association avec des sp</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cialistes reconnus au niveau international, nous assumons l'enti</w:t>
      </w:r>
      <w:r w:rsidRPr="00B55F7E">
        <w:rPr>
          <w:rFonts w:ascii="Arial" w:hAnsi="Arial" w:cs="Arial" w:hint="eastAsia"/>
          <w:color w:val="auto"/>
          <w:sz w:val="20"/>
          <w:szCs w:val="20"/>
          <w:lang w:val="fr-FR"/>
        </w:rPr>
        <w:t>è</w:t>
      </w:r>
      <w:r w:rsidRPr="00B55F7E">
        <w:rPr>
          <w:rFonts w:ascii="Arial" w:hAnsi="Arial" w:cs="Arial"/>
          <w:color w:val="auto"/>
          <w:sz w:val="20"/>
          <w:szCs w:val="20"/>
          <w:lang w:val="fr-FR"/>
        </w:rPr>
        <w:t>re responsabilit</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 de tous les travaux de maintenance, que votre usine soit </w:t>
      </w:r>
      <w:r w:rsidRPr="00B55F7E">
        <w:rPr>
          <w:rFonts w:ascii="Arial" w:hAnsi="Arial" w:cs="Arial" w:hint="eastAsia"/>
          <w:color w:val="auto"/>
          <w:sz w:val="20"/>
          <w:szCs w:val="20"/>
          <w:lang w:val="fr-FR"/>
        </w:rPr>
        <w:t>à</w:t>
      </w:r>
      <w:r w:rsidRPr="00B55F7E">
        <w:rPr>
          <w:rFonts w:ascii="Arial" w:hAnsi="Arial" w:cs="Arial"/>
          <w:color w:val="auto"/>
          <w:sz w:val="20"/>
          <w:szCs w:val="20"/>
          <w:lang w:val="fr-FR"/>
        </w:rPr>
        <w:t xml:space="preserve"> l'arr</w:t>
      </w:r>
      <w:r w:rsidRPr="00B55F7E">
        <w:rPr>
          <w:rFonts w:ascii="Arial" w:hAnsi="Arial" w:cs="Arial" w:hint="eastAsia"/>
          <w:color w:val="auto"/>
          <w:sz w:val="20"/>
          <w:szCs w:val="20"/>
          <w:lang w:val="fr-FR"/>
        </w:rPr>
        <w:t>ê</w:t>
      </w:r>
      <w:r w:rsidRPr="00B55F7E">
        <w:rPr>
          <w:rFonts w:ascii="Arial" w:hAnsi="Arial" w:cs="Arial"/>
          <w:color w:val="auto"/>
          <w:sz w:val="20"/>
          <w:szCs w:val="20"/>
          <w:lang w:val="fr-FR"/>
        </w:rPr>
        <w:t>t ou en fonctionnement.</w:t>
      </w:r>
    </w:p>
    <w:p w:rsidR="006B0467"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lastRenderedPageBreak/>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D91009">
        <w:rPr>
          <w:rFonts w:ascii="Arial" w:hAnsi="Arial" w:cs="Arial"/>
          <w:color w:val="auto"/>
          <w:sz w:val="20"/>
          <w:szCs w:val="20"/>
          <w:lang w:val="fr-FR"/>
        </w:rPr>
        <w:t>5</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Pr="007C2FC8" w:rsidRDefault="0032434C" w:rsidP="00581C8F">
      <w:pPr>
        <w:adjustRightInd w:val="0"/>
        <w:spacing w:line="288" w:lineRule="auto"/>
        <w:ind w:right="495"/>
        <w:jc w:val="both"/>
        <w:rPr>
          <w:rFonts w:ascii="Arial" w:hAnsi="Arial" w:cs="Arial"/>
          <w:color w:val="auto"/>
          <w:sz w:val="20"/>
          <w:szCs w:val="20"/>
          <w:lang w:val="fr-FR"/>
        </w:rPr>
      </w:pPr>
    </w:p>
    <w:p w:rsidR="00AD5F96" w:rsidRDefault="00B55F7E" w:rsidP="004D10BD">
      <w:pPr>
        <w:adjustRightInd w:val="0"/>
        <w:spacing w:line="288" w:lineRule="auto"/>
        <w:ind w:right="495"/>
        <w:jc w:val="both"/>
        <w:rPr>
          <w:rFonts w:ascii="Arial" w:hAnsi="Arial" w:cs="Arial"/>
          <w:color w:val="auto"/>
          <w:sz w:val="20"/>
          <w:szCs w:val="20"/>
          <w:lang w:val="fr-FR"/>
        </w:rPr>
      </w:pPr>
      <w:r>
        <w:rPr>
          <w:rFonts w:ascii="Arial" w:hAnsi="Arial" w:cs="Arial"/>
          <w:noProof/>
          <w:color w:val="auto"/>
          <w:sz w:val="20"/>
          <w:szCs w:val="20"/>
          <w:lang w:val="fr-FR" w:eastAsia="fr-FR"/>
        </w:rPr>
        <w:drawing>
          <wp:inline distT="0" distB="0" distL="0" distR="0" wp14:anchorId="36255ED6" wp14:editId="52B3F7A8">
            <wp:extent cx="2812212" cy="181042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20935" cy="1816040"/>
                    </a:xfrm>
                    <a:prstGeom prst="rect">
                      <a:avLst/>
                    </a:prstGeom>
                    <a:noFill/>
                  </pic:spPr>
                </pic:pic>
              </a:graphicData>
            </a:graphic>
          </wp:inline>
        </w:drawing>
      </w:r>
    </w:p>
    <w:p w:rsidR="00B55F7E" w:rsidRDefault="00B55F7E" w:rsidP="004D10BD">
      <w:pPr>
        <w:adjustRightInd w:val="0"/>
        <w:spacing w:line="288" w:lineRule="auto"/>
        <w:ind w:right="495"/>
        <w:jc w:val="both"/>
        <w:rPr>
          <w:rFonts w:ascii="Arial" w:hAnsi="Arial" w:cs="Arial"/>
          <w:color w:val="auto"/>
          <w:sz w:val="20"/>
          <w:szCs w:val="20"/>
          <w:lang w:val="fr-FR"/>
        </w:rPr>
      </w:pPr>
    </w:p>
    <w:p w:rsidR="00B55F7E" w:rsidRPr="004D10BD" w:rsidRDefault="00B55F7E" w:rsidP="004D10BD">
      <w:pPr>
        <w:adjustRightInd w:val="0"/>
        <w:spacing w:line="288" w:lineRule="auto"/>
        <w:ind w:right="495"/>
        <w:jc w:val="both"/>
        <w:rPr>
          <w:rFonts w:ascii="Arial" w:hAnsi="Arial" w:cs="Arial"/>
          <w:color w:val="auto"/>
          <w:sz w:val="20"/>
          <w:szCs w:val="20"/>
          <w:lang w:val="fr-FR"/>
        </w:rPr>
      </w:pPr>
      <w:r>
        <w:rPr>
          <w:rFonts w:cs="Arial"/>
          <w:noProof/>
          <w:color w:val="auto"/>
          <w:szCs w:val="20"/>
          <w:lang w:val="fr-FR" w:eastAsia="fr-FR"/>
        </w:rPr>
        <w:drawing>
          <wp:inline distT="0" distB="0" distL="0" distR="0" wp14:anchorId="256315DA" wp14:editId="654A1134">
            <wp:extent cx="2734574" cy="1997520"/>
            <wp:effectExtent l="0" t="0" r="8890" b="3175"/>
            <wp:docPr id="4" name="Picture 4" descr="E:\DSC_51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DSC_5103.JPG"/>
                    <pic:cNvPicPr>
                      <a:picLocks noChangeAspect="1" noChangeArrowheads="1"/>
                    </pic:cNvPicPr>
                  </pic:nvPicPr>
                  <pic:blipFill>
                    <a:blip r:embed="rId10" cstate="print">
                      <a:lum contrast="10000"/>
                    </a:blip>
                    <a:srcRect l="1222" t="9443" r="16161"/>
                    <a:stretch>
                      <a:fillRect/>
                    </a:stretch>
                  </pic:blipFill>
                  <pic:spPr bwMode="auto">
                    <a:xfrm>
                      <a:off x="0" y="0"/>
                      <a:ext cx="2734574" cy="1997520"/>
                    </a:xfrm>
                    <a:prstGeom prst="rect">
                      <a:avLst/>
                    </a:prstGeom>
                    <a:noFill/>
                    <a:ln w="9525">
                      <a:noFill/>
                      <a:miter lim="800000"/>
                      <a:headEnd/>
                      <a:tailEnd/>
                    </a:ln>
                  </pic:spPr>
                </pic:pic>
              </a:graphicData>
            </a:graphic>
          </wp:inline>
        </w:drawing>
      </w:r>
    </w:p>
    <w:p w:rsidR="004E21D9" w:rsidRDefault="00B55F7E" w:rsidP="004D10BD">
      <w:pPr>
        <w:adjustRightInd w:val="0"/>
        <w:spacing w:line="288" w:lineRule="auto"/>
        <w:ind w:right="495"/>
        <w:jc w:val="both"/>
        <w:rPr>
          <w:rFonts w:ascii="Arial" w:hAnsi="Arial" w:cs="Arial"/>
          <w:color w:val="auto"/>
          <w:sz w:val="20"/>
          <w:szCs w:val="20"/>
          <w:lang w:val="fr-FR"/>
        </w:rPr>
      </w:pPr>
      <w:r w:rsidRPr="00B55F7E">
        <w:rPr>
          <w:rFonts w:ascii="Arial" w:hAnsi="Arial" w:cs="Arial"/>
          <w:color w:val="auto"/>
          <w:sz w:val="20"/>
          <w:szCs w:val="20"/>
          <w:lang w:val="fr-FR"/>
        </w:rPr>
        <w:t>Signature de l'accord de coop</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 xml:space="preserve">ration par </w:t>
      </w:r>
      <w:proofErr w:type="spellStart"/>
      <w:r w:rsidRPr="00B55F7E">
        <w:rPr>
          <w:rFonts w:ascii="Arial" w:hAnsi="Arial" w:cs="Arial"/>
          <w:color w:val="auto"/>
          <w:sz w:val="20"/>
          <w:szCs w:val="20"/>
          <w:lang w:val="fr-FR"/>
        </w:rPr>
        <w:t>Hashim</w:t>
      </w:r>
      <w:proofErr w:type="spellEnd"/>
      <w:r w:rsidRPr="00B55F7E">
        <w:rPr>
          <w:rFonts w:ascii="Arial" w:hAnsi="Arial" w:cs="Arial"/>
          <w:color w:val="auto"/>
          <w:sz w:val="20"/>
          <w:szCs w:val="20"/>
          <w:lang w:val="fr-FR"/>
        </w:rPr>
        <w:t xml:space="preserve"> </w:t>
      </w:r>
      <w:proofErr w:type="spellStart"/>
      <w:r w:rsidRPr="00B55F7E">
        <w:rPr>
          <w:rFonts w:ascii="Arial" w:hAnsi="Arial" w:cs="Arial"/>
          <w:color w:val="auto"/>
          <w:sz w:val="20"/>
          <w:szCs w:val="20"/>
          <w:lang w:val="fr-FR"/>
        </w:rPr>
        <w:t>Moraisel</w:t>
      </w:r>
      <w:proofErr w:type="spellEnd"/>
      <w:r w:rsidRPr="00B55F7E">
        <w:rPr>
          <w:rFonts w:ascii="Arial" w:hAnsi="Arial" w:cs="Arial"/>
          <w:color w:val="auto"/>
          <w:sz w:val="20"/>
          <w:szCs w:val="20"/>
          <w:lang w:val="fr-FR"/>
        </w:rPr>
        <w:t>, CEO ANABEEB et Stephan Neuburger, Directeur G</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n</w:t>
      </w:r>
      <w:r w:rsidRPr="00B55F7E">
        <w:rPr>
          <w:rFonts w:ascii="Arial" w:hAnsi="Arial" w:cs="Arial" w:hint="eastAsia"/>
          <w:color w:val="auto"/>
          <w:sz w:val="20"/>
          <w:szCs w:val="20"/>
          <w:lang w:val="fr-FR"/>
        </w:rPr>
        <w:t>é</w:t>
      </w:r>
      <w:r w:rsidRPr="00B55F7E">
        <w:rPr>
          <w:rFonts w:ascii="Arial" w:hAnsi="Arial" w:cs="Arial"/>
          <w:color w:val="auto"/>
          <w:sz w:val="20"/>
          <w:szCs w:val="20"/>
          <w:lang w:val="fr-FR"/>
        </w:rPr>
        <w:t>ral du Groupe KROHNE</w:t>
      </w:r>
    </w:p>
    <w:p w:rsidR="00B55F7E" w:rsidRPr="004D10BD" w:rsidRDefault="00B55F7E"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D86C17" w:rsidP="00A67269">
      <w:pPr>
        <w:spacing w:line="288" w:lineRule="auto"/>
        <w:rPr>
          <w:rFonts w:ascii="Arial" w:hAnsi="Arial" w:cs="Arial"/>
          <w:sz w:val="20"/>
          <w:szCs w:val="20"/>
          <w:lang w:val="fr-FR"/>
        </w:rPr>
      </w:pPr>
      <w:hyperlink r:id="rId11"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D86C17" w:rsidP="00F8271A">
      <w:pPr>
        <w:spacing w:line="288" w:lineRule="auto"/>
        <w:rPr>
          <w:szCs w:val="20"/>
          <w:lang w:val="fr-FR"/>
        </w:rPr>
      </w:pPr>
      <w:hyperlink r:id="rId12"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3"/>
      <w:footerReference w:type="default" r:id="rId14"/>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5C" w:rsidRDefault="0073245C">
      <w:r>
        <w:separator/>
      </w:r>
    </w:p>
  </w:endnote>
  <w:endnote w:type="continuationSeparator" w:id="0">
    <w:p w:rsidR="0073245C" w:rsidRDefault="0073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86C17">
            <w:rPr>
              <w:noProof/>
            </w:rPr>
            <w:t>1</w:t>
          </w:r>
          <w:r>
            <w:fldChar w:fldCharType="end"/>
          </w:r>
          <w:r>
            <w:rPr>
              <w:rStyle w:val="Numrodepage"/>
              <w:rFonts w:cs="Arial"/>
              <w:sz w:val="16"/>
              <w:szCs w:val="16"/>
            </w:rPr>
            <w:t>/</w:t>
          </w:r>
          <w:fldSimple w:instr=" NUMPAGES ">
            <w:r w:rsidR="00D86C17">
              <w:rPr>
                <w:noProof/>
              </w:rPr>
              <w:t>2</w:t>
            </w:r>
          </w:fldSimple>
        </w:p>
      </w:tc>
    </w:tr>
  </w:tbl>
  <w:p w:rsidR="00E31D6C" w:rsidRDefault="00E31D6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5C" w:rsidRDefault="0073245C">
      <w:r>
        <w:separator/>
      </w:r>
    </w:p>
  </w:footnote>
  <w:footnote w:type="continuationSeparator" w:id="0">
    <w:p w:rsidR="0073245C" w:rsidRDefault="0073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En-tte"/>
    </w:pPr>
    <w:r>
      <w:rPr>
        <w:noProof/>
        <w:lang w:val="fr-FR" w:eastAsia="fr-FR"/>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10"/>
  </w:num>
  <w:num w:numId="4">
    <w:abstractNumId w:val="12"/>
  </w:num>
  <w:num w:numId="5">
    <w:abstractNumId w:val="6"/>
  </w:num>
  <w:num w:numId="6">
    <w:abstractNumId w:val="16"/>
  </w:num>
  <w:num w:numId="7">
    <w:abstractNumId w:val="17"/>
  </w:num>
  <w:num w:numId="8">
    <w:abstractNumId w:val="13"/>
  </w:num>
  <w:num w:numId="9">
    <w:abstractNumId w:val="14"/>
  </w:num>
  <w:num w:numId="10">
    <w:abstractNumId w:val="7"/>
  </w:num>
  <w:num w:numId="11">
    <w:abstractNumId w:val="9"/>
  </w:num>
  <w:num w:numId="12">
    <w:abstractNumId w:val="18"/>
  </w:num>
  <w:num w:numId="13">
    <w:abstractNumId w:val="5"/>
  </w:num>
  <w:num w:numId="14">
    <w:abstractNumId w:val="0"/>
  </w:num>
  <w:num w:numId="15">
    <w:abstractNumId w:val="15"/>
  </w:num>
  <w:num w:numId="16">
    <w:abstractNumId w:val="8"/>
  </w:num>
  <w:num w:numId="17">
    <w:abstractNumId w:val="19"/>
  </w:num>
  <w:num w:numId="18">
    <w:abstractNumId w:val="3"/>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303D"/>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7792"/>
    <w:rsid w:val="004C25A8"/>
    <w:rsid w:val="004C4A0B"/>
    <w:rsid w:val="004C7370"/>
    <w:rsid w:val="004C7BDE"/>
    <w:rsid w:val="004D10BD"/>
    <w:rsid w:val="004D1605"/>
    <w:rsid w:val="004D3FDC"/>
    <w:rsid w:val="004D40EE"/>
    <w:rsid w:val="004D55C9"/>
    <w:rsid w:val="004D64FE"/>
    <w:rsid w:val="004D6503"/>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2028"/>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6CC1"/>
    <w:rsid w:val="0066067B"/>
    <w:rsid w:val="00661606"/>
    <w:rsid w:val="006635C8"/>
    <w:rsid w:val="006636E9"/>
    <w:rsid w:val="00664542"/>
    <w:rsid w:val="00666B14"/>
    <w:rsid w:val="0067004D"/>
    <w:rsid w:val="006711CF"/>
    <w:rsid w:val="00671C43"/>
    <w:rsid w:val="00671FFE"/>
    <w:rsid w:val="00672EB9"/>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078DE"/>
    <w:rsid w:val="00A105AC"/>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6A8D"/>
    <w:rsid w:val="00AE7D30"/>
    <w:rsid w:val="00AF3B2E"/>
    <w:rsid w:val="00AF3B2F"/>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358"/>
    <w:rsid w:val="00B41AA9"/>
    <w:rsid w:val="00B41CEC"/>
    <w:rsid w:val="00B43D59"/>
    <w:rsid w:val="00B44B58"/>
    <w:rsid w:val="00B54C81"/>
    <w:rsid w:val="00B54E0D"/>
    <w:rsid w:val="00B55F7E"/>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E31A5"/>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FF4"/>
    <w:rsid w:val="00D67C91"/>
    <w:rsid w:val="00D703CF"/>
    <w:rsid w:val="00D73A9E"/>
    <w:rsid w:val="00D73BAD"/>
    <w:rsid w:val="00D75BD5"/>
    <w:rsid w:val="00D771EE"/>
    <w:rsid w:val="00D84DC2"/>
    <w:rsid w:val="00D84F29"/>
    <w:rsid w:val="00D86C17"/>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rohne.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france@krohne.com?subject=demand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E61DE-4526-40E0-8495-7EC7C533E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3</TotalTime>
  <Pages>2</Pages>
  <Words>646</Words>
  <Characters>3542</Characters>
  <Application>Microsoft Office Word</Application>
  <DocSecurity>0</DocSecurity>
  <Lines>29</Lines>
  <Paragraphs>8</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4180</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6</cp:revision>
  <cp:lastPrinted>2015-03-09T08:55:00Z</cp:lastPrinted>
  <dcterms:created xsi:type="dcterms:W3CDTF">2016-03-18T16:24:00Z</dcterms:created>
  <dcterms:modified xsi:type="dcterms:W3CDTF">2016-03-21T08:46:00Z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