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Pr="00511A25" w:rsidRDefault="00511A25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VA40 WIM: </w:t>
      </w:r>
      <w:proofErr w:type="spellStart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>nueva</w:t>
      </w:r>
      <w:proofErr w:type="spellEnd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>salida</w:t>
      </w:r>
      <w:proofErr w:type="spellEnd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>opcional</w:t>
      </w:r>
      <w:proofErr w:type="spellEnd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4</w:t>
      </w:r>
      <w:r w:rsidRPr="00511A25">
        <w:rPr>
          <w:rFonts w:ascii="Arial" w:hAnsi="Arial" w:cs="Arial" w:hint="eastAsia"/>
          <w:b/>
          <w:color w:val="auto"/>
          <w:sz w:val="28"/>
          <w:szCs w:val="32"/>
          <w:lang w:val="en-US"/>
        </w:rPr>
        <w:t>…</w:t>
      </w:r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20mA para </w:t>
      </w:r>
      <w:proofErr w:type="spellStart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>caudal</w:t>
      </w:r>
      <w:r w:rsidRPr="00511A25">
        <w:rPr>
          <w:rFonts w:ascii="Arial" w:hAnsi="Arial" w:cs="Arial" w:hint="eastAsia"/>
          <w:b/>
          <w:color w:val="auto"/>
          <w:sz w:val="28"/>
          <w:szCs w:val="32"/>
          <w:lang w:val="en-US"/>
        </w:rPr>
        <w:t>í</w:t>
      </w:r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>metros</w:t>
      </w:r>
      <w:proofErr w:type="spellEnd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511A25">
        <w:rPr>
          <w:rFonts w:ascii="Arial" w:hAnsi="Arial" w:cs="Arial" w:hint="eastAsia"/>
          <w:b/>
          <w:color w:val="auto"/>
          <w:sz w:val="28"/>
          <w:szCs w:val="32"/>
          <w:lang w:val="en-US"/>
        </w:rPr>
        <w:t>á</w:t>
      </w:r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>rea</w:t>
      </w:r>
      <w:proofErr w:type="spellEnd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variable con </w:t>
      </w:r>
      <w:proofErr w:type="spellStart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>tubo</w:t>
      </w:r>
      <w:proofErr w:type="spellEnd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>medida</w:t>
      </w:r>
      <w:proofErr w:type="spellEnd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b/>
          <w:color w:val="auto"/>
          <w:sz w:val="28"/>
          <w:szCs w:val="32"/>
          <w:lang w:val="en-US"/>
        </w:rPr>
        <w:t>vidrio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511A25" w:rsidRPr="00511A25" w:rsidRDefault="00B00804" w:rsidP="00511A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511A25">
        <w:rPr>
          <w:rFonts w:ascii="Arial" w:hAnsi="Arial" w:cs="Arial"/>
          <w:color w:val="auto"/>
          <w:sz w:val="20"/>
          <w:szCs w:val="20"/>
          <w:lang w:val="en-US"/>
        </w:rPr>
        <w:t>17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6F7B91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B40AC0">
        <w:rPr>
          <w:rFonts w:ascii="Arial" w:hAnsi="Arial" w:cs="Arial"/>
          <w:color w:val="auto"/>
          <w:sz w:val="20"/>
          <w:szCs w:val="20"/>
          <w:lang w:val="en-US"/>
        </w:rPr>
        <w:t>l</w:t>
      </w:r>
      <w:proofErr w:type="gramEnd"/>
      <w:r w:rsidR="00B40AC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>
        <w:rPr>
          <w:rFonts w:ascii="Arial" w:hAnsi="Arial" w:cs="Arial"/>
          <w:color w:val="auto"/>
          <w:sz w:val="20"/>
          <w:szCs w:val="20"/>
          <w:lang w:val="en-US"/>
        </w:rPr>
        <w:t>f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e</w:t>
      </w:r>
      <w:r w:rsidR="00511A25">
        <w:rPr>
          <w:rFonts w:ascii="Arial" w:hAnsi="Arial" w:cs="Arial"/>
          <w:color w:val="auto"/>
          <w:sz w:val="20"/>
          <w:szCs w:val="20"/>
          <w:lang w:val="en-US"/>
        </w:rPr>
        <w:t>br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ero</w:t>
      </w:r>
      <w:proofErr w:type="spellEnd"/>
      <w:r w:rsidR="00702EA9">
        <w:rPr>
          <w:rFonts w:ascii="Arial" w:hAnsi="Arial" w:cs="Arial"/>
          <w:color w:val="auto"/>
          <w:sz w:val="20"/>
          <w:szCs w:val="20"/>
          <w:lang w:val="en-US"/>
        </w:rPr>
        <w:t xml:space="preserve"> 2015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Con la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opci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"WIM"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el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ctrica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4...20mA para los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metros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rea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variable VA40.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Anteriormente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estos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vidrio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pod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an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leer la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velocidad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caudal solo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localmente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cambio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4...20mA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transmisi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valor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medido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finalidades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control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evaluaci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11A25" w:rsidRPr="00511A25" w:rsidRDefault="00511A25" w:rsidP="00511A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11A25" w:rsidRPr="00511A25" w:rsidRDefault="00511A25" w:rsidP="00511A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versi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WIM del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VA40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altura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flotador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convierte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el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ctrica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cadena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efecto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Hall.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gram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PLC/DCS, o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bien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grabar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el valor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medido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con un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registrado</w:t>
      </w:r>
      <w:bookmarkStart w:id="0" w:name="_GoBack"/>
      <w:bookmarkEnd w:id="0"/>
      <w:r w:rsidRPr="00511A25">
        <w:rPr>
          <w:rFonts w:ascii="Arial" w:hAnsi="Arial" w:cs="Arial"/>
          <w:color w:val="auto"/>
          <w:sz w:val="20"/>
          <w:szCs w:val="20"/>
          <w:lang w:val="en-US"/>
        </w:rPr>
        <w:t>r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durante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periodo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dado. Con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VA40 WIM KROHNE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suministra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curva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calibraci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gracias a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cual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cliente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asignar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el valor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exacto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caudal 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cualquier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valor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corriente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11A25" w:rsidRPr="00511A25" w:rsidRDefault="00511A25" w:rsidP="00511A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11A25" w:rsidRPr="00511A25" w:rsidRDefault="00511A25" w:rsidP="00511A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metros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rea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variable VA40 se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utilizan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caudal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volum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trico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quidos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o gases. El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vidrio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inspecci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visual </w:t>
      </w:r>
      <w:proofErr w:type="gram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evaluar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algunas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propiedades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arrastre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gases o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coloraci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. Las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t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picas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gases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lavado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purga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inertizaci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los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circuitos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calefacci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refrigeraci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gas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hornos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u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otras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b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sicas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construcci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maquinarias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donde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principio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puramente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mec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nico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demostrando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validez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hace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casi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100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os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11A25" w:rsidRPr="00511A25" w:rsidRDefault="00511A25" w:rsidP="00511A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02EA9" w:rsidRDefault="00511A25" w:rsidP="00511A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opci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WIM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contar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variantes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conexi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VA40. </w:t>
      </w:r>
      <w:proofErr w:type="gram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Este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exento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se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caracteriza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lidas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llaves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paso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acero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inoxidable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y se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monta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directamente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tuber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brida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rosca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abrazadera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manguera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posible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instalaci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reas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peligrosas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a ATEX II2G Ex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ia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IIC T6 Gb y ATEX II2D Ex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ia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IIIC T85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°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C Db.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actualizaci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existentes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opci</w:t>
      </w:r>
      <w:r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511A25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WIM no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11A25">
        <w:rPr>
          <w:rFonts w:ascii="Arial" w:hAnsi="Arial" w:cs="Arial"/>
          <w:color w:val="auto"/>
          <w:sz w:val="20"/>
          <w:szCs w:val="20"/>
          <w:lang w:val="en-US"/>
        </w:rPr>
        <w:t>posible</w:t>
      </w:r>
      <w:proofErr w:type="spellEnd"/>
      <w:r w:rsidRPr="00511A25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11A25" w:rsidRDefault="00511A25" w:rsidP="00511A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D20125" w:rsidRDefault="006F7B91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3.000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511A25" w:rsidRPr="0021110B" w:rsidRDefault="00511A25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bCs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lastRenderedPageBreak/>
        <w:t>Imagen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1:</w:t>
      </w:r>
    </w:p>
    <w:p w:rsidR="00CF6EF2" w:rsidRDefault="00511A25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noProof/>
          <w:color w:val="auto"/>
          <w:sz w:val="20"/>
          <w:szCs w:val="20"/>
        </w:rPr>
        <w:drawing>
          <wp:inline distT="0" distB="0" distL="0" distR="0">
            <wp:extent cx="3114675" cy="2131383"/>
            <wp:effectExtent l="0" t="0" r="0" b="2540"/>
            <wp:docPr id="4" name="Grafik 4" descr="H:\Veroeffentlichungen\Pressemitteilungen\2015\44_VA40_WIM\VA40_WIM_4-20mA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5\44_VA40_WIM\VA40_WIM_4-20mA_72dpi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3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804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Pr="00CF6EF2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VA40 WIM: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4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…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20mA para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metros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11A25" w:rsidRPr="00511A25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rea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variable con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11A25" w:rsidRPr="00511A25">
        <w:rPr>
          <w:rFonts w:ascii="Arial" w:hAnsi="Arial" w:cs="Arial"/>
          <w:color w:val="auto"/>
          <w:sz w:val="20"/>
          <w:szCs w:val="20"/>
          <w:lang w:val="en-US"/>
        </w:rPr>
        <w:t>vidrio</w:t>
      </w:r>
      <w:proofErr w:type="spellEnd"/>
    </w:p>
    <w:p w:rsidR="00CF6EF2" w:rsidRPr="00CF6EF2" w:rsidRDefault="00CF6EF2" w:rsidP="00384328">
      <w:pPr>
        <w:spacing w:line="288" w:lineRule="auto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511A25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511A25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11A25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511A25">
            <w:fldChar w:fldCharType="begin"/>
          </w:r>
          <w:r w:rsidR="00511A25">
            <w:instrText xml:space="preserve"> NUMPAGES </w:instrText>
          </w:r>
          <w:r w:rsidR="00511A25">
            <w:fldChar w:fldCharType="separate"/>
          </w:r>
          <w:r w:rsidR="00511A25">
            <w:rPr>
              <w:noProof/>
            </w:rPr>
            <w:t>2</w:t>
          </w:r>
          <w:r w:rsidR="00511A25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8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BA771-D650-40D0-9463-E28E6C71B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467</Words>
  <Characters>2556</Characters>
  <Application>Microsoft Office Word</Application>
  <DocSecurity>0</DocSecurity>
  <Lines>37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3012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4</cp:revision>
  <cp:lastPrinted>2012-06-14T17:54:00Z</cp:lastPrinted>
  <dcterms:created xsi:type="dcterms:W3CDTF">2015-01-05T09:46:00Z</dcterms:created>
  <dcterms:modified xsi:type="dcterms:W3CDTF">2015-02-16T16:13:00Z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