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Pr="007B10BE" w:rsidRDefault="00CF42C7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</w:rPr>
      </w:pPr>
      <w:r w:rsidRPr="00CF42C7">
        <w:rPr>
          <w:rFonts w:ascii="Arial" w:hAnsi="Arial" w:cs="Arial"/>
          <w:b/>
          <w:color w:val="auto"/>
          <w:sz w:val="28"/>
          <w:szCs w:val="32"/>
        </w:rPr>
        <w:t xml:space="preserve">Nuevo </w:t>
      </w:r>
      <w:proofErr w:type="spellStart"/>
      <w:r w:rsidRPr="00CF42C7">
        <w:rPr>
          <w:rFonts w:ascii="Arial" w:hAnsi="Arial" w:cs="Arial"/>
          <w:b/>
          <w:color w:val="auto"/>
          <w:sz w:val="28"/>
          <w:szCs w:val="32"/>
        </w:rPr>
        <w:t>caudal</w:t>
      </w:r>
      <w:r w:rsidRPr="00CF42C7">
        <w:rPr>
          <w:rFonts w:ascii="Arial" w:hAnsi="Arial" w:cs="Arial" w:hint="eastAsia"/>
          <w:b/>
          <w:color w:val="auto"/>
          <w:sz w:val="28"/>
          <w:szCs w:val="32"/>
        </w:rPr>
        <w:t>í</w:t>
      </w:r>
      <w:r w:rsidRPr="00CF42C7">
        <w:rPr>
          <w:rFonts w:ascii="Arial" w:hAnsi="Arial" w:cs="Arial"/>
          <w:b/>
          <w:color w:val="auto"/>
          <w:sz w:val="28"/>
          <w:szCs w:val="32"/>
        </w:rPr>
        <w:t>metro</w:t>
      </w:r>
      <w:proofErr w:type="spellEnd"/>
      <w:r w:rsidRPr="00CF42C7">
        <w:rPr>
          <w:rFonts w:ascii="Arial" w:hAnsi="Arial" w:cs="Arial"/>
          <w:b/>
          <w:color w:val="auto"/>
          <w:sz w:val="28"/>
          <w:szCs w:val="32"/>
        </w:rPr>
        <w:t xml:space="preserve"> </w:t>
      </w:r>
      <w:proofErr w:type="spellStart"/>
      <w:r w:rsidRPr="00CF42C7">
        <w:rPr>
          <w:rFonts w:ascii="Arial" w:hAnsi="Arial" w:cs="Arial"/>
          <w:b/>
          <w:color w:val="auto"/>
          <w:sz w:val="28"/>
          <w:szCs w:val="32"/>
        </w:rPr>
        <w:t>Vortex</w:t>
      </w:r>
      <w:proofErr w:type="spellEnd"/>
      <w:r w:rsidRPr="00CF42C7">
        <w:rPr>
          <w:rFonts w:ascii="Arial" w:hAnsi="Arial" w:cs="Arial"/>
          <w:b/>
          <w:color w:val="auto"/>
          <w:sz w:val="28"/>
          <w:szCs w:val="32"/>
        </w:rPr>
        <w:t xml:space="preserve"> </w:t>
      </w:r>
      <w:proofErr w:type="spellStart"/>
      <w:r w:rsidRPr="00CF42C7">
        <w:rPr>
          <w:rFonts w:ascii="Arial" w:hAnsi="Arial" w:cs="Arial"/>
          <w:b/>
          <w:color w:val="auto"/>
          <w:sz w:val="28"/>
          <w:szCs w:val="32"/>
        </w:rPr>
        <w:t>para</w:t>
      </w:r>
      <w:proofErr w:type="spellEnd"/>
      <w:r w:rsidRPr="00CF42C7">
        <w:rPr>
          <w:rFonts w:ascii="Arial" w:hAnsi="Arial" w:cs="Arial"/>
          <w:b/>
          <w:color w:val="auto"/>
          <w:sz w:val="28"/>
          <w:szCs w:val="32"/>
        </w:rPr>
        <w:t xml:space="preserve"> </w:t>
      </w:r>
      <w:proofErr w:type="spellStart"/>
      <w:r w:rsidRPr="00CF42C7">
        <w:rPr>
          <w:rFonts w:ascii="Arial" w:hAnsi="Arial" w:cs="Arial"/>
          <w:b/>
          <w:color w:val="auto"/>
          <w:sz w:val="28"/>
          <w:szCs w:val="32"/>
        </w:rPr>
        <w:t>medidas</w:t>
      </w:r>
      <w:proofErr w:type="spellEnd"/>
      <w:r w:rsidRPr="00CF42C7">
        <w:rPr>
          <w:rFonts w:ascii="Arial" w:hAnsi="Arial" w:cs="Arial"/>
          <w:b/>
          <w:color w:val="auto"/>
          <w:sz w:val="28"/>
          <w:szCs w:val="32"/>
        </w:rPr>
        <w:t xml:space="preserve"> de </w:t>
      </w:r>
      <w:proofErr w:type="spellStart"/>
      <w:r w:rsidRPr="00CF42C7">
        <w:rPr>
          <w:rFonts w:ascii="Arial" w:hAnsi="Arial" w:cs="Arial"/>
          <w:b/>
          <w:color w:val="auto"/>
          <w:sz w:val="28"/>
          <w:szCs w:val="32"/>
        </w:rPr>
        <w:t>energ</w:t>
      </w:r>
      <w:r w:rsidRPr="00CF42C7">
        <w:rPr>
          <w:rFonts w:ascii="Arial" w:hAnsi="Arial" w:cs="Arial" w:hint="eastAsia"/>
          <w:b/>
          <w:color w:val="auto"/>
          <w:sz w:val="28"/>
          <w:szCs w:val="32"/>
        </w:rPr>
        <w:t>í</w:t>
      </w:r>
      <w:r w:rsidRPr="00CF42C7">
        <w:rPr>
          <w:rFonts w:ascii="Arial" w:hAnsi="Arial" w:cs="Arial"/>
          <w:b/>
          <w:color w:val="auto"/>
          <w:sz w:val="28"/>
          <w:szCs w:val="32"/>
        </w:rPr>
        <w:t>a</w:t>
      </w:r>
      <w:proofErr w:type="spellEnd"/>
      <w:r w:rsidRPr="00CF42C7">
        <w:rPr>
          <w:rFonts w:ascii="Arial" w:hAnsi="Arial" w:cs="Arial"/>
          <w:b/>
          <w:color w:val="auto"/>
          <w:sz w:val="28"/>
          <w:szCs w:val="32"/>
        </w:rPr>
        <w:t xml:space="preserve"> </w:t>
      </w:r>
      <w:proofErr w:type="spellStart"/>
      <w:r w:rsidRPr="00CF42C7">
        <w:rPr>
          <w:rFonts w:ascii="Arial" w:hAnsi="Arial" w:cs="Arial"/>
          <w:b/>
          <w:color w:val="auto"/>
          <w:sz w:val="28"/>
          <w:szCs w:val="32"/>
        </w:rPr>
        <w:t>avanzadas</w:t>
      </w:r>
      <w:proofErr w:type="spellEnd"/>
    </w:p>
    <w:p w:rsidR="00CF42C7" w:rsidRDefault="00CF42C7" w:rsidP="00CF42C7">
      <w:pPr>
        <w:pStyle w:val="StandardWeb"/>
        <w:numPr>
          <w:ilvl w:val="0"/>
          <w:numId w:val="19"/>
        </w:numPr>
        <w:tabs>
          <w:tab w:val="left" w:pos="7830"/>
        </w:tabs>
        <w:spacing w:before="120" w:line="288" w:lineRule="auto"/>
        <w:ind w:left="284" w:right="743" w:hanging="284"/>
        <w:rPr>
          <w:rFonts w:ascii="Arial" w:hAnsi="Arial" w:cs="Arial"/>
          <w:sz w:val="20"/>
          <w:szCs w:val="20"/>
        </w:rPr>
      </w:pPr>
      <w:r w:rsidRPr="00CF42C7">
        <w:rPr>
          <w:rFonts w:ascii="Arial" w:hAnsi="Arial" w:cs="Arial"/>
          <w:sz w:val="20"/>
          <w:szCs w:val="20"/>
        </w:rPr>
        <w:t xml:space="preserve">Nuevo </w:t>
      </w:r>
      <w:proofErr w:type="spellStart"/>
      <w:r w:rsidRPr="00CF42C7">
        <w:rPr>
          <w:rFonts w:ascii="Arial" w:hAnsi="Arial" w:cs="Arial"/>
          <w:sz w:val="20"/>
          <w:szCs w:val="20"/>
        </w:rPr>
        <w:t>caudal</w:t>
      </w:r>
      <w:r w:rsidRPr="00CF42C7">
        <w:rPr>
          <w:rFonts w:ascii="Arial" w:hAnsi="Arial" w:cs="Arial" w:hint="eastAsia"/>
          <w:sz w:val="20"/>
          <w:szCs w:val="20"/>
        </w:rPr>
        <w:t>í</w:t>
      </w:r>
      <w:r w:rsidRPr="00CF42C7">
        <w:rPr>
          <w:rFonts w:ascii="Arial" w:hAnsi="Arial" w:cs="Arial"/>
          <w:sz w:val="20"/>
          <w:szCs w:val="20"/>
        </w:rPr>
        <w:t>metro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42C7">
        <w:rPr>
          <w:rFonts w:ascii="Arial" w:hAnsi="Arial" w:cs="Arial"/>
          <w:sz w:val="20"/>
          <w:szCs w:val="20"/>
        </w:rPr>
        <w:t>Vortex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OPTISWIRL 4200 </w:t>
      </w:r>
      <w:proofErr w:type="spellStart"/>
      <w:r w:rsidRPr="00CF42C7">
        <w:rPr>
          <w:rFonts w:ascii="Arial" w:hAnsi="Arial" w:cs="Arial"/>
          <w:sz w:val="20"/>
          <w:szCs w:val="20"/>
        </w:rPr>
        <w:t>para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42C7">
        <w:rPr>
          <w:rFonts w:ascii="Arial" w:hAnsi="Arial" w:cs="Arial"/>
          <w:sz w:val="20"/>
          <w:szCs w:val="20"/>
        </w:rPr>
        <w:t>control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42C7">
        <w:rPr>
          <w:rFonts w:ascii="Arial" w:hAnsi="Arial" w:cs="Arial"/>
          <w:sz w:val="20"/>
          <w:szCs w:val="20"/>
        </w:rPr>
        <w:t>interno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F42C7">
        <w:rPr>
          <w:rFonts w:ascii="Arial" w:hAnsi="Arial" w:cs="Arial"/>
          <w:sz w:val="20"/>
          <w:szCs w:val="20"/>
        </w:rPr>
        <w:t>flujos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F42C7">
        <w:rPr>
          <w:rFonts w:ascii="Arial" w:hAnsi="Arial" w:cs="Arial"/>
          <w:sz w:val="20"/>
          <w:szCs w:val="20"/>
        </w:rPr>
        <w:t>energ</w:t>
      </w:r>
      <w:r w:rsidRPr="00CF42C7">
        <w:rPr>
          <w:rFonts w:ascii="Arial" w:hAnsi="Arial" w:cs="Arial" w:hint="eastAsia"/>
          <w:sz w:val="20"/>
          <w:szCs w:val="20"/>
        </w:rPr>
        <w:t>í</w:t>
      </w:r>
      <w:r w:rsidRPr="00CF42C7">
        <w:rPr>
          <w:rFonts w:ascii="Arial" w:hAnsi="Arial" w:cs="Arial"/>
          <w:sz w:val="20"/>
          <w:szCs w:val="20"/>
        </w:rPr>
        <w:t>a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en </w:t>
      </w:r>
      <w:proofErr w:type="spellStart"/>
      <w:r w:rsidRPr="00CF42C7">
        <w:rPr>
          <w:rFonts w:ascii="Arial" w:hAnsi="Arial" w:cs="Arial"/>
          <w:sz w:val="20"/>
          <w:szCs w:val="20"/>
        </w:rPr>
        <w:t>vapor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42C7">
        <w:rPr>
          <w:rFonts w:ascii="Arial" w:hAnsi="Arial" w:cs="Arial"/>
          <w:sz w:val="20"/>
          <w:szCs w:val="20"/>
        </w:rPr>
        <w:t>saturado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CF42C7">
        <w:rPr>
          <w:rFonts w:ascii="Arial" w:hAnsi="Arial" w:cs="Arial"/>
          <w:sz w:val="20"/>
          <w:szCs w:val="20"/>
        </w:rPr>
        <w:t>recalentado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o en </w:t>
      </w:r>
      <w:proofErr w:type="spellStart"/>
      <w:r w:rsidRPr="00CF42C7">
        <w:rPr>
          <w:rFonts w:ascii="Arial" w:hAnsi="Arial" w:cs="Arial"/>
          <w:sz w:val="20"/>
          <w:szCs w:val="20"/>
        </w:rPr>
        <w:t>agua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42C7">
        <w:rPr>
          <w:rFonts w:ascii="Arial" w:hAnsi="Arial" w:cs="Arial"/>
          <w:sz w:val="20"/>
          <w:szCs w:val="20"/>
        </w:rPr>
        <w:t>caliente</w:t>
      </w:r>
      <w:proofErr w:type="spellEnd"/>
    </w:p>
    <w:p w:rsidR="00CF42C7" w:rsidRDefault="00CF42C7" w:rsidP="00CF42C7">
      <w:pPr>
        <w:pStyle w:val="StandardWeb"/>
        <w:numPr>
          <w:ilvl w:val="0"/>
          <w:numId w:val="19"/>
        </w:numPr>
        <w:tabs>
          <w:tab w:val="left" w:pos="7830"/>
        </w:tabs>
        <w:spacing w:before="120" w:line="288" w:lineRule="auto"/>
        <w:ind w:left="284" w:right="743" w:hanging="284"/>
        <w:rPr>
          <w:rFonts w:ascii="Arial" w:hAnsi="Arial" w:cs="Arial"/>
          <w:sz w:val="20"/>
          <w:szCs w:val="20"/>
          <w:lang w:val="en-US"/>
        </w:rPr>
      </w:pPr>
      <w:proofErr w:type="spellStart"/>
      <w:r w:rsidRPr="00CF42C7">
        <w:rPr>
          <w:rFonts w:ascii="Arial" w:hAnsi="Arial" w:cs="Arial"/>
          <w:sz w:val="20"/>
          <w:szCs w:val="20"/>
          <w:lang w:val="en-US"/>
        </w:rPr>
        <w:t>C</w:t>
      </w:r>
      <w:r w:rsidRPr="00CF42C7">
        <w:rPr>
          <w:rFonts w:ascii="Arial" w:hAnsi="Arial" w:cs="Arial" w:hint="eastAsia"/>
          <w:sz w:val="20"/>
          <w:szCs w:val="20"/>
          <w:lang w:val="en-US"/>
        </w:rPr>
        <w:t>á</w:t>
      </w:r>
      <w:r w:rsidRPr="00CF42C7">
        <w:rPr>
          <w:rFonts w:ascii="Arial" w:hAnsi="Arial" w:cs="Arial"/>
          <w:sz w:val="20"/>
          <w:szCs w:val="20"/>
          <w:lang w:val="en-US"/>
        </w:rPr>
        <w:t>lculo</w:t>
      </w:r>
      <w:proofErr w:type="spellEnd"/>
      <w:r w:rsidRPr="00CF42C7">
        <w:rPr>
          <w:rFonts w:ascii="Arial" w:hAnsi="Arial" w:cs="Arial"/>
          <w:sz w:val="20"/>
          <w:szCs w:val="20"/>
          <w:lang w:val="en-US"/>
        </w:rPr>
        <w:t xml:space="preserve"> del </w:t>
      </w:r>
      <w:proofErr w:type="spellStart"/>
      <w:r w:rsidRPr="00CF42C7">
        <w:rPr>
          <w:rFonts w:ascii="Arial" w:hAnsi="Arial" w:cs="Arial"/>
          <w:sz w:val="20"/>
          <w:szCs w:val="20"/>
          <w:lang w:val="en-US"/>
        </w:rPr>
        <w:t>volumen</w:t>
      </w:r>
      <w:proofErr w:type="spellEnd"/>
      <w:r w:rsidRPr="00CF42C7">
        <w:rPr>
          <w:rFonts w:ascii="Arial" w:hAnsi="Arial" w:cs="Arial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sz w:val="20"/>
          <w:szCs w:val="20"/>
          <w:lang w:val="en-US"/>
        </w:rPr>
        <w:t>calor</w:t>
      </w:r>
      <w:proofErr w:type="spellEnd"/>
      <w:r w:rsidRPr="00CF42C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sz w:val="20"/>
          <w:szCs w:val="20"/>
          <w:lang w:val="en-US"/>
        </w:rPr>
        <w:t>bruto</w:t>
      </w:r>
      <w:proofErr w:type="spellEnd"/>
      <w:r w:rsidRPr="00CF42C7">
        <w:rPr>
          <w:rFonts w:ascii="Arial" w:hAnsi="Arial" w:cs="Arial"/>
          <w:sz w:val="20"/>
          <w:szCs w:val="20"/>
          <w:lang w:val="en-US"/>
        </w:rPr>
        <w:t xml:space="preserve"> y </w:t>
      </w:r>
      <w:proofErr w:type="spellStart"/>
      <w:r w:rsidRPr="00CF42C7">
        <w:rPr>
          <w:rFonts w:ascii="Arial" w:hAnsi="Arial" w:cs="Arial"/>
          <w:sz w:val="20"/>
          <w:szCs w:val="20"/>
          <w:lang w:val="en-US"/>
        </w:rPr>
        <w:t>neto</w:t>
      </w:r>
      <w:proofErr w:type="spellEnd"/>
      <w:r w:rsidRPr="00CF42C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sz w:val="20"/>
          <w:szCs w:val="20"/>
          <w:lang w:val="en-US"/>
        </w:rPr>
        <w:t>en</w:t>
      </w:r>
      <w:proofErr w:type="spellEnd"/>
      <w:r w:rsidRPr="00CF42C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sz w:val="20"/>
          <w:szCs w:val="20"/>
          <w:lang w:val="en-US"/>
        </w:rPr>
        <w:t>agua</w:t>
      </w:r>
      <w:proofErr w:type="spellEnd"/>
      <w:r w:rsidRPr="00CF42C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sz w:val="20"/>
          <w:szCs w:val="20"/>
          <w:lang w:val="en-US"/>
        </w:rPr>
        <w:t>caliente</w:t>
      </w:r>
      <w:proofErr w:type="spellEnd"/>
      <w:r w:rsidRPr="00CF42C7">
        <w:rPr>
          <w:rFonts w:ascii="Arial" w:hAnsi="Arial" w:cs="Arial"/>
          <w:sz w:val="20"/>
          <w:szCs w:val="20"/>
          <w:lang w:val="en-US"/>
        </w:rPr>
        <w:t xml:space="preserve"> y vapor</w:t>
      </w:r>
    </w:p>
    <w:p w:rsidR="00CF42C7" w:rsidRPr="00CF42C7" w:rsidRDefault="00CF42C7" w:rsidP="00CF42C7">
      <w:pPr>
        <w:pStyle w:val="StandardWeb"/>
        <w:numPr>
          <w:ilvl w:val="0"/>
          <w:numId w:val="19"/>
        </w:numPr>
        <w:tabs>
          <w:tab w:val="left" w:pos="7830"/>
        </w:tabs>
        <w:spacing w:before="120" w:line="288" w:lineRule="auto"/>
        <w:ind w:left="284" w:right="743" w:hanging="284"/>
        <w:rPr>
          <w:rFonts w:ascii="Arial" w:hAnsi="Arial" w:cs="Arial"/>
          <w:sz w:val="20"/>
          <w:szCs w:val="20"/>
          <w:lang w:val="en-US"/>
        </w:rPr>
      </w:pPr>
      <w:proofErr w:type="spellStart"/>
      <w:r w:rsidRPr="00CF42C7">
        <w:rPr>
          <w:rFonts w:ascii="Arial" w:hAnsi="Arial" w:cs="Arial"/>
          <w:sz w:val="20"/>
          <w:szCs w:val="20"/>
        </w:rPr>
        <w:t>Medida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F42C7">
        <w:rPr>
          <w:rFonts w:ascii="Arial" w:hAnsi="Arial" w:cs="Arial"/>
          <w:sz w:val="20"/>
          <w:szCs w:val="20"/>
        </w:rPr>
        <w:t>energ</w:t>
      </w:r>
      <w:r w:rsidRPr="00CF42C7">
        <w:rPr>
          <w:rFonts w:ascii="Arial" w:hAnsi="Arial" w:cs="Arial" w:hint="eastAsia"/>
          <w:sz w:val="20"/>
          <w:szCs w:val="20"/>
        </w:rPr>
        <w:t>í</w:t>
      </w:r>
      <w:r w:rsidRPr="00CF42C7">
        <w:rPr>
          <w:rFonts w:ascii="Arial" w:hAnsi="Arial" w:cs="Arial"/>
          <w:sz w:val="20"/>
          <w:szCs w:val="20"/>
        </w:rPr>
        <w:t>a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42C7">
        <w:rPr>
          <w:rFonts w:ascii="Arial" w:hAnsi="Arial" w:cs="Arial"/>
          <w:sz w:val="20"/>
          <w:szCs w:val="20"/>
        </w:rPr>
        <w:t>como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42C7">
        <w:rPr>
          <w:rFonts w:ascii="Arial" w:hAnsi="Arial" w:cs="Arial"/>
          <w:sz w:val="20"/>
          <w:szCs w:val="20"/>
        </w:rPr>
        <w:t>asistencia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42C7">
        <w:rPr>
          <w:rFonts w:ascii="Arial" w:hAnsi="Arial" w:cs="Arial"/>
          <w:sz w:val="20"/>
          <w:szCs w:val="20"/>
        </w:rPr>
        <w:t>para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42C7">
        <w:rPr>
          <w:rFonts w:ascii="Arial" w:hAnsi="Arial" w:cs="Arial"/>
          <w:sz w:val="20"/>
          <w:szCs w:val="20"/>
        </w:rPr>
        <w:t>sistemas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F42C7">
        <w:rPr>
          <w:rFonts w:ascii="Arial" w:hAnsi="Arial" w:cs="Arial"/>
          <w:sz w:val="20"/>
          <w:szCs w:val="20"/>
        </w:rPr>
        <w:t>avanzados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F42C7">
        <w:rPr>
          <w:rFonts w:ascii="Arial" w:hAnsi="Arial" w:cs="Arial"/>
          <w:sz w:val="20"/>
          <w:szCs w:val="20"/>
        </w:rPr>
        <w:t>gesti</w:t>
      </w:r>
      <w:r w:rsidRPr="00CF42C7">
        <w:rPr>
          <w:rFonts w:ascii="Arial" w:hAnsi="Arial" w:cs="Arial" w:hint="eastAsia"/>
          <w:sz w:val="20"/>
          <w:szCs w:val="20"/>
        </w:rPr>
        <w:t>ó</w:t>
      </w:r>
      <w:r w:rsidRPr="00CF42C7">
        <w:rPr>
          <w:rFonts w:ascii="Arial" w:hAnsi="Arial" w:cs="Arial"/>
          <w:sz w:val="20"/>
          <w:szCs w:val="20"/>
        </w:rPr>
        <w:t>n</w:t>
      </w:r>
      <w:proofErr w:type="spellEnd"/>
      <w:r w:rsidRPr="00CF42C7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CF42C7">
        <w:rPr>
          <w:rFonts w:ascii="Arial" w:hAnsi="Arial" w:cs="Arial"/>
          <w:sz w:val="20"/>
          <w:szCs w:val="20"/>
        </w:rPr>
        <w:t>energ</w:t>
      </w:r>
      <w:r w:rsidRPr="00CF42C7">
        <w:rPr>
          <w:rFonts w:ascii="Arial" w:hAnsi="Arial" w:cs="Arial" w:hint="eastAsia"/>
          <w:sz w:val="20"/>
          <w:szCs w:val="20"/>
        </w:rPr>
        <w:t>í</w:t>
      </w:r>
      <w:r w:rsidRPr="00CF42C7">
        <w:rPr>
          <w:rFonts w:ascii="Arial" w:hAnsi="Arial" w:cs="Arial"/>
          <w:sz w:val="20"/>
          <w:szCs w:val="20"/>
        </w:rPr>
        <w:t>a</w:t>
      </w:r>
      <w:proofErr w:type="spellEnd"/>
    </w:p>
    <w:p w:rsidR="00F9628E" w:rsidRPr="00650C54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proofErr w:type="spellStart"/>
      <w:r w:rsidRPr="00650C54">
        <w:rPr>
          <w:rFonts w:ascii="Arial" w:hAnsi="Arial" w:cs="Arial"/>
          <w:b/>
          <w:sz w:val="20"/>
          <w:szCs w:val="20"/>
        </w:rPr>
        <w:t>Texto</w:t>
      </w:r>
      <w:proofErr w:type="spellEnd"/>
      <w:r w:rsidRPr="00650C54">
        <w:rPr>
          <w:rFonts w:ascii="Arial" w:hAnsi="Arial" w:cs="Arial"/>
          <w:b/>
          <w:sz w:val="20"/>
          <w:szCs w:val="20"/>
        </w:rPr>
        <w:t>:</w:t>
      </w:r>
    </w:p>
    <w:p w:rsidR="00CF42C7" w:rsidRDefault="00B00804" w:rsidP="00CF42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650C5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 w:rsidRPr="00650C5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1E2EC6">
        <w:rPr>
          <w:rFonts w:ascii="Arial" w:hAnsi="Arial" w:cs="Arial"/>
          <w:color w:val="auto"/>
          <w:sz w:val="20"/>
          <w:szCs w:val="20"/>
          <w:lang w:val="en-US"/>
        </w:rPr>
        <w:t>8</w:t>
      </w:r>
      <w:r w:rsidR="006F7B91" w:rsidRPr="00650C5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6F7B91" w:rsidRPr="00650C54">
        <w:rPr>
          <w:rFonts w:ascii="Arial" w:hAnsi="Arial" w:cs="Arial"/>
          <w:color w:val="auto"/>
          <w:sz w:val="20"/>
          <w:szCs w:val="20"/>
          <w:lang w:val="en-US"/>
        </w:rPr>
        <w:t>de</w:t>
      </w:r>
      <w:r w:rsidR="00B40AC0" w:rsidRPr="00650C54">
        <w:rPr>
          <w:rFonts w:ascii="Arial" w:hAnsi="Arial" w:cs="Arial"/>
          <w:color w:val="auto"/>
          <w:sz w:val="20"/>
          <w:szCs w:val="20"/>
          <w:lang w:val="en-US"/>
        </w:rPr>
        <w:t>l</w:t>
      </w:r>
      <w:proofErr w:type="gramEnd"/>
      <w:r w:rsidR="00B40AC0" w:rsidRPr="00650C5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50C54" w:rsidRPr="00650C54">
        <w:rPr>
          <w:rFonts w:ascii="Arial" w:hAnsi="Arial" w:cs="Arial"/>
          <w:color w:val="auto"/>
          <w:sz w:val="20"/>
          <w:szCs w:val="20"/>
          <w:lang w:val="en-US"/>
        </w:rPr>
        <w:t>octubbre</w:t>
      </w:r>
      <w:proofErr w:type="spellEnd"/>
      <w:r w:rsidR="00B40AC0" w:rsidRPr="00650C54">
        <w:rPr>
          <w:rFonts w:ascii="Arial" w:hAnsi="Arial" w:cs="Arial"/>
          <w:color w:val="auto"/>
          <w:sz w:val="20"/>
          <w:szCs w:val="20"/>
          <w:lang w:val="en-US"/>
        </w:rPr>
        <w:t xml:space="preserve"> 2014</w:t>
      </w:r>
      <w:r w:rsidRPr="00650C5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caudal</w:t>
      </w:r>
      <w:r w:rsidR="00CF42C7"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metro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Vortex OPTISWIRL 4200 para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medir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l</w:t>
      </w:r>
      <w:r w:rsidR="00CF42C7"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quidos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, gases y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vapores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conductivos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y no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conductivos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. Este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="00CF42C7"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destinado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auxiliares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y de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suministro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diversas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industrias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ejemplo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, al control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interno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flujos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energ</w:t>
      </w:r>
      <w:r w:rsidR="00CF42C7"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vapor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saturado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recalentado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caliente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)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a</w:t>
      </w:r>
      <w:bookmarkStart w:id="0" w:name="_GoBack"/>
      <w:bookmarkEnd w:id="0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s</w:t>
      </w:r>
      <w:r w:rsidR="00CF42C7"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medir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calor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mbitos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uso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tambi</w:t>
      </w:r>
      <w:r w:rsidR="00CF42C7"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incluyen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el control de calderas de vapor, la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consumo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quemadores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o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el control de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redes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aire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comprimido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incluidas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CF42C7"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FAD.</w:t>
      </w:r>
    </w:p>
    <w:p w:rsidR="00CF42C7" w:rsidRPr="00CF42C7" w:rsidRDefault="00CF42C7" w:rsidP="00CF42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F42C7" w:rsidRDefault="00CF42C7" w:rsidP="00CF42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Basado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experiencia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adquirida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predecesor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(el OPTISWIRL 4070)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este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caudal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metro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algunas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capacidades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avanzadas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adem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calcular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calor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bruto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del vapor, el OPTISWIRL 4200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tambi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permite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calcular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calor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neto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del vapor y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condensaci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caliente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). Con </w:t>
      </w:r>
      <w:proofErr w:type="gram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sensor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integrado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, el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instalar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medidor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calor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tuber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alimentaci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directamente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conectado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a un sensor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externo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situado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tuber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retorno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. El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lculo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los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calores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bruto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neto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introducir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DCS para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pueda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ser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utilizado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gesti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energ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avanzado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CF42C7" w:rsidRPr="00CF42C7" w:rsidRDefault="00CF42C7" w:rsidP="00CF42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F42C7" w:rsidRDefault="00CF42C7" w:rsidP="00CF42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gram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Al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igual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predecesor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, el OPTISWIRL 4200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tambi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ofrece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opciones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compensaci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presi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permiten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calcular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flujo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volum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trico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ndar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presiones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temperaturas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fluctuantes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Ambas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funciones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compensaci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basadas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ndares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NIST (para el gas) y IAPWS (para el vapor).</w:t>
      </w:r>
      <w:proofErr w:type="gram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Otra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ventaja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, gracias a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combinaci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tres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medidas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(caudal,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presi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)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2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hilos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solamente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necesario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abrir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tuber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vez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efectuar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instalaci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CF42C7" w:rsidRPr="00CF42C7" w:rsidRDefault="00CF42C7" w:rsidP="00CF42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F42C7" w:rsidRDefault="00CF42C7" w:rsidP="00CF42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Adem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sensor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ndar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existe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versi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reducci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integrada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di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metro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nominal hasta dos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tama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os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apta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instalaciones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poco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espacio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grandes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rangos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Alrededor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del 90%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caudal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metros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Vortex se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solicitan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un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tama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peque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di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metro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tuber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, para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ese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modo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aumentar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velocidad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del caudal y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obtener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amplio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ese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caso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tuber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debe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estrechar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antes del sensor y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ensanchar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despu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del sensor,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normalmente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incluyendo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entrada 20 DN y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salida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5 DN. Con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reducci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y el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aumento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di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metro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nominal,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esto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ya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no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necesario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. Para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compensar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falta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entrada recta entre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reducci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y el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cuerpo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achatado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caudal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metro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Vortex,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estos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calibran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y se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linealizan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espec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ficamente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CF42C7" w:rsidRPr="00CF42C7" w:rsidRDefault="00CF42C7" w:rsidP="00CF42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F42C7" w:rsidRDefault="00CF42C7" w:rsidP="00CF42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versi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remota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OPTISWIRL 4200 F con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convertidor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alojamiento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campo se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adquirir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con un cable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conexi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hasta 50 m/164 ft. Al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igual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predecesor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, el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tambi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est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versi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dual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con dos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independientes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y dos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convertidores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se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al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tuber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í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as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multiproducto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medidas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redundantes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exigencias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seguridad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estrictas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CF42C7" w:rsidRPr="00CF42C7" w:rsidRDefault="00CF42C7" w:rsidP="00CF42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CF42C7" w:rsidRDefault="00CF42C7" w:rsidP="00CF42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lastRenderedPageBreak/>
        <w:t>Tambi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han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ampliado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componentes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electr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nicos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equipado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funci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AVFD (Advanced Vortex Frequency Detection), el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convertidor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se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al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VFC 200 del OPTISWIRL 4200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permite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avanzado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procesamiento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filtrado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se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ales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: se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eliminan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interferencias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perturbaciones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se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al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recogida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y se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filtran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suprimen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se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ñ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ales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no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pertenecen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banda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frecuencias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relevante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.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gesti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redundante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informaci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evita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pierdan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datos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calibraci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configuraci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cambiar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componentes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electr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nicos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pantalla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CF42C7" w:rsidRPr="00CF42C7" w:rsidRDefault="00CF42C7" w:rsidP="00CF42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763340" w:rsidRDefault="00CF42C7" w:rsidP="00CF42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OPTISWIRL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salen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f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brica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calibrados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h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ú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medo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siguiendo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normas</w:t>
      </w:r>
      <w:proofErr w:type="spellEnd"/>
      <w:proofErr w:type="gram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internacionales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) y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preajustados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corresponder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las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especificaciones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cliente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. OPTISWIRL 4200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tambi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é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viene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gram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asistente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facilita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instalaci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aplicaci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ó</w:t>
      </w:r>
      <w:r w:rsidRPr="00CF42C7">
        <w:rPr>
          <w:rFonts w:ascii="Arial" w:hAnsi="Arial" w:cs="Arial"/>
          <w:color w:val="auto"/>
          <w:sz w:val="20"/>
          <w:szCs w:val="20"/>
          <w:lang w:val="en-US"/>
        </w:rPr>
        <w:t>n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con vapor,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ejemplo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solamente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mostrar</w:t>
      </w:r>
      <w:r w:rsidRPr="00CF42C7">
        <w:rPr>
          <w:rFonts w:ascii="Arial" w:hAnsi="Arial" w:cs="Arial" w:hint="eastAsia"/>
          <w:color w:val="auto"/>
          <w:sz w:val="20"/>
          <w:szCs w:val="20"/>
          <w:lang w:val="en-US"/>
        </w:rPr>
        <w:t>á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ajustes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CF42C7">
        <w:rPr>
          <w:rFonts w:ascii="Arial" w:hAnsi="Arial" w:cs="Arial"/>
          <w:color w:val="auto"/>
          <w:sz w:val="20"/>
          <w:szCs w:val="20"/>
          <w:lang w:val="en-US"/>
        </w:rPr>
        <w:t>relevantes</w:t>
      </w:r>
      <w:proofErr w:type="spellEnd"/>
      <w:r w:rsidRPr="00CF42C7">
        <w:rPr>
          <w:rFonts w:ascii="Arial" w:hAnsi="Arial" w:cs="Arial"/>
          <w:color w:val="auto"/>
          <w:sz w:val="20"/>
          <w:szCs w:val="20"/>
          <w:lang w:val="en-US"/>
        </w:rPr>
        <w:t>).</w:t>
      </w:r>
    </w:p>
    <w:p w:rsidR="00CF42C7" w:rsidRDefault="00CF42C7" w:rsidP="00CF42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D20125" w:rsidRPr="0021110B" w:rsidRDefault="006F7B91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bCs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que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3.000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los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los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00804" w:rsidRDefault="00B00804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Ludwig-Krohne-Str.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1E2EC6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9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1E2EC6" w:rsidP="00384328">
      <w:pPr>
        <w:adjustRightInd w:val="0"/>
        <w:spacing w:line="288" w:lineRule="auto"/>
        <w:rPr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2EC6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1E2EC6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8"/>
  </w:num>
  <w:num w:numId="18">
    <w:abstractNumId w:val="1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2EC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0C54"/>
    <w:rsid w:val="00651840"/>
    <w:rsid w:val="0065283D"/>
    <w:rsid w:val="0065292E"/>
    <w:rsid w:val="006529B8"/>
    <w:rsid w:val="00654476"/>
    <w:rsid w:val="00656789"/>
    <w:rsid w:val="0066067B"/>
    <w:rsid w:val="00661606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093E"/>
    <w:rsid w:val="009D10F3"/>
    <w:rsid w:val="009D25FF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243"/>
    <w:rsid w:val="00CD7FA3"/>
    <w:rsid w:val="00CE148C"/>
    <w:rsid w:val="00CE2EA1"/>
    <w:rsid w:val="00CE4FCD"/>
    <w:rsid w:val="00CE5881"/>
    <w:rsid w:val="00CE7B5E"/>
    <w:rsid w:val="00CF0329"/>
    <w:rsid w:val="00CF1801"/>
    <w:rsid w:val="00CF2B86"/>
    <w:rsid w:val="00CF31A0"/>
    <w:rsid w:val="00CF3582"/>
    <w:rsid w:val="00CF374C"/>
    <w:rsid w:val="00CF42C7"/>
    <w:rsid w:val="00CF5677"/>
    <w:rsid w:val="00CF61E0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9CCCD-694C-4D19-94DE-28AE5B1F5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770</Words>
  <Characters>4245</Characters>
  <Application>Microsoft Office Word</Application>
  <DocSecurity>0</DocSecurity>
  <Lines>35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5005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Jörg</cp:lastModifiedBy>
  <cp:revision>3</cp:revision>
  <cp:lastPrinted>2012-06-14T17:54:00Z</cp:lastPrinted>
  <dcterms:created xsi:type="dcterms:W3CDTF">2014-10-08T14:26:00Z</dcterms:created>
  <dcterms:modified xsi:type="dcterms:W3CDTF">2014-10-08T14:53:00Z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